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82178" w:rsidR="00014566" w:rsidP="00282178" w:rsidRDefault="00014566">
      <w:pPr>
        <w:pStyle w:val="ECHRDecisionBody"/>
        <w:jc w:val="center"/>
        <w:rPr>
          <w:lang w:val="en-GB"/>
        </w:rPr>
      </w:pPr>
      <w:bookmarkStart w:name="_GoBack" w:id="0"/>
      <w:bookmarkEnd w:id="0"/>
    </w:p>
    <w:p w:rsidRPr="00282178" w:rsidR="00383037" w:rsidP="00282178" w:rsidRDefault="00383037">
      <w:pPr>
        <w:pStyle w:val="ECHRDecisionBody"/>
        <w:jc w:val="center"/>
        <w:rPr>
          <w:lang w:val="en-GB"/>
        </w:rPr>
      </w:pPr>
    </w:p>
    <w:p w:rsidRPr="00282178" w:rsidR="00383037" w:rsidP="00282178" w:rsidRDefault="00383037">
      <w:pPr>
        <w:pStyle w:val="ECHRDecisionBody"/>
        <w:jc w:val="center"/>
        <w:rPr>
          <w:lang w:val="en-GB"/>
        </w:rPr>
      </w:pPr>
    </w:p>
    <w:p w:rsidRPr="00282178" w:rsidR="00014566" w:rsidP="00282178" w:rsidRDefault="008F792B">
      <w:pPr>
        <w:jc w:val="center"/>
        <w:rPr>
          <w:lang w:val="en-GB"/>
        </w:rPr>
      </w:pPr>
      <w:r w:rsidRPr="00282178">
        <w:rPr>
          <w:lang w:val="en-GB"/>
        </w:rPr>
        <w:t>THIRD SECTION</w:t>
      </w:r>
    </w:p>
    <w:p w:rsidRPr="00282178" w:rsidR="00014566" w:rsidP="00282178" w:rsidRDefault="00014566">
      <w:pPr>
        <w:jc w:val="center"/>
        <w:rPr>
          <w:lang w:val="en-GB"/>
        </w:rPr>
      </w:pPr>
    </w:p>
    <w:p w:rsidRPr="00282178" w:rsidR="00383037" w:rsidP="00282178" w:rsidRDefault="00383037">
      <w:pPr>
        <w:jc w:val="center"/>
        <w:rPr>
          <w:lang w:val="en-GB"/>
        </w:rPr>
      </w:pPr>
    </w:p>
    <w:p w:rsidRPr="00282178" w:rsidR="00383037" w:rsidP="00282178" w:rsidRDefault="00383037">
      <w:pPr>
        <w:jc w:val="center"/>
        <w:rPr>
          <w:lang w:val="en-GB"/>
        </w:rPr>
      </w:pPr>
    </w:p>
    <w:p w:rsidRPr="00282178" w:rsidR="00383037" w:rsidP="00282178" w:rsidRDefault="00383037">
      <w:pPr>
        <w:jc w:val="center"/>
        <w:rPr>
          <w:lang w:val="en-GB"/>
        </w:rPr>
      </w:pPr>
    </w:p>
    <w:p w:rsidRPr="00282178" w:rsidR="00383037" w:rsidP="00282178" w:rsidRDefault="00383037">
      <w:pPr>
        <w:jc w:val="center"/>
        <w:rPr>
          <w:lang w:val="en-GB"/>
        </w:rPr>
      </w:pPr>
    </w:p>
    <w:p w:rsidRPr="00282178" w:rsidR="00F310A4" w:rsidP="00282178" w:rsidRDefault="00F310A4">
      <w:pPr>
        <w:jc w:val="center"/>
        <w:rPr>
          <w:lang w:val="en-GB"/>
        </w:rPr>
      </w:pPr>
    </w:p>
    <w:p w:rsidRPr="00282178" w:rsidR="00383037" w:rsidP="00282178" w:rsidRDefault="00383037">
      <w:pPr>
        <w:jc w:val="center"/>
        <w:rPr>
          <w:lang w:val="en-GB"/>
        </w:rPr>
      </w:pPr>
    </w:p>
    <w:p w:rsidRPr="00282178" w:rsidR="00014566" w:rsidP="00282178" w:rsidRDefault="00014566">
      <w:pPr>
        <w:jc w:val="center"/>
        <w:rPr>
          <w:b/>
          <w:lang w:val="en-GB"/>
        </w:rPr>
      </w:pPr>
      <w:bookmarkStart w:name="To" w:id="1"/>
      <w:r w:rsidRPr="00282178">
        <w:rPr>
          <w:b/>
          <w:lang w:val="en-GB"/>
        </w:rPr>
        <w:t xml:space="preserve">CASE OF </w:t>
      </w:r>
      <w:bookmarkEnd w:id="1"/>
      <w:r w:rsidRPr="00282178" w:rsidR="008F792B">
        <w:rPr>
          <w:b/>
          <w:lang w:val="en-GB"/>
        </w:rPr>
        <w:t>SHESTOPALOV v. RUSSIA</w:t>
      </w:r>
    </w:p>
    <w:p w:rsidRPr="00282178" w:rsidR="00014566" w:rsidP="00282178" w:rsidRDefault="00014566">
      <w:pPr>
        <w:jc w:val="center"/>
        <w:rPr>
          <w:lang w:val="en-GB"/>
        </w:rPr>
      </w:pPr>
    </w:p>
    <w:p w:rsidRPr="00282178" w:rsidR="00014566" w:rsidP="00282178" w:rsidRDefault="00014566">
      <w:pPr>
        <w:jc w:val="center"/>
        <w:rPr>
          <w:i/>
          <w:lang w:val="en-GB"/>
        </w:rPr>
      </w:pPr>
      <w:r w:rsidRPr="00282178">
        <w:rPr>
          <w:i/>
          <w:lang w:val="en-GB"/>
        </w:rPr>
        <w:t>(</w:t>
      </w:r>
      <w:r w:rsidRPr="00282178" w:rsidR="008F792B">
        <w:rPr>
          <w:i/>
          <w:lang w:val="en-GB"/>
        </w:rPr>
        <w:t>Application no. 46248/07</w:t>
      </w:r>
      <w:r w:rsidRPr="00282178">
        <w:rPr>
          <w:i/>
          <w:lang w:val="en-GB"/>
        </w:rPr>
        <w:t>)</w:t>
      </w:r>
    </w:p>
    <w:p w:rsidRPr="00282178" w:rsidR="00014566" w:rsidP="00282178" w:rsidRDefault="00014566">
      <w:pPr>
        <w:jc w:val="center"/>
        <w:rPr>
          <w:lang w:val="en-GB"/>
        </w:rPr>
      </w:pPr>
    </w:p>
    <w:p w:rsidRPr="00282178" w:rsidR="00014566" w:rsidP="00282178" w:rsidRDefault="00014566">
      <w:pPr>
        <w:jc w:val="center"/>
        <w:rPr>
          <w:lang w:val="en-GB"/>
        </w:rPr>
      </w:pPr>
    </w:p>
    <w:p w:rsidRPr="00282178" w:rsidR="00014566" w:rsidP="00282178" w:rsidRDefault="00014566">
      <w:pPr>
        <w:jc w:val="center"/>
        <w:rPr>
          <w:lang w:val="en-GB"/>
        </w:rPr>
      </w:pPr>
    </w:p>
    <w:p w:rsidRPr="00282178" w:rsidR="00D65BA8" w:rsidP="00282178" w:rsidRDefault="00D65BA8">
      <w:pPr>
        <w:jc w:val="center"/>
        <w:rPr>
          <w:lang w:val="en-GB"/>
        </w:rPr>
      </w:pPr>
    </w:p>
    <w:p w:rsidRPr="00282178" w:rsidR="00F310A4" w:rsidP="00282178" w:rsidRDefault="00F310A4">
      <w:pPr>
        <w:jc w:val="center"/>
        <w:rPr>
          <w:lang w:val="en-GB"/>
        </w:rPr>
      </w:pPr>
    </w:p>
    <w:p w:rsidRPr="00282178" w:rsidR="00F310A4" w:rsidP="00282178" w:rsidRDefault="00F310A4">
      <w:pPr>
        <w:jc w:val="center"/>
        <w:rPr>
          <w:lang w:val="en-GB"/>
        </w:rPr>
      </w:pPr>
    </w:p>
    <w:p w:rsidRPr="00282178" w:rsidR="00014566" w:rsidP="00282178" w:rsidRDefault="00014566">
      <w:pPr>
        <w:jc w:val="center"/>
        <w:rPr>
          <w:lang w:val="en-GB"/>
        </w:rPr>
      </w:pPr>
    </w:p>
    <w:p w:rsidRPr="00282178" w:rsidR="00014566" w:rsidP="00282178" w:rsidRDefault="00383037">
      <w:pPr>
        <w:jc w:val="center"/>
        <w:rPr>
          <w:szCs w:val="24"/>
          <w:lang w:val="en-GB"/>
        </w:rPr>
      </w:pPr>
      <w:r w:rsidRPr="00282178">
        <w:rPr>
          <w:szCs w:val="24"/>
          <w:lang w:val="en-GB"/>
        </w:rPr>
        <w:t>JUDGMENT</w:t>
      </w:r>
    </w:p>
    <w:p w:rsidRPr="00282178" w:rsidR="00014566" w:rsidP="00282178" w:rsidRDefault="00014566">
      <w:pPr>
        <w:jc w:val="center"/>
        <w:rPr>
          <w:szCs w:val="24"/>
          <w:lang w:val="en-GB"/>
        </w:rPr>
      </w:pPr>
    </w:p>
    <w:p w:rsidRPr="00282178" w:rsidR="00C57B60" w:rsidP="00282178" w:rsidRDefault="00C57B60">
      <w:pPr>
        <w:jc w:val="center"/>
        <w:rPr>
          <w:i/>
          <w:sz w:val="22"/>
          <w:lang w:val="en-GB"/>
        </w:rPr>
      </w:pPr>
    </w:p>
    <w:p w:rsidRPr="00282178" w:rsidR="00383037" w:rsidP="00282178" w:rsidRDefault="00383037">
      <w:pPr>
        <w:pStyle w:val="JuCase"/>
        <w:ind w:firstLine="0"/>
        <w:jc w:val="center"/>
        <w:rPr>
          <w:b w:val="0"/>
          <w:lang w:val="en-GB"/>
        </w:rPr>
      </w:pPr>
    </w:p>
    <w:p w:rsidRPr="00282178" w:rsidR="00383037" w:rsidP="00282178" w:rsidRDefault="00383037">
      <w:pPr>
        <w:pStyle w:val="JuCase"/>
        <w:ind w:firstLine="0"/>
        <w:jc w:val="center"/>
        <w:rPr>
          <w:b w:val="0"/>
          <w:lang w:val="en-GB"/>
        </w:rPr>
      </w:pPr>
    </w:p>
    <w:p w:rsidRPr="00282178" w:rsidR="00383037" w:rsidP="00282178" w:rsidRDefault="00383037">
      <w:pPr>
        <w:pStyle w:val="JuCase"/>
        <w:ind w:firstLine="0"/>
        <w:jc w:val="center"/>
        <w:rPr>
          <w:b w:val="0"/>
          <w:lang w:val="en-GB"/>
        </w:rPr>
      </w:pPr>
      <w:r w:rsidRPr="00282178">
        <w:rPr>
          <w:b w:val="0"/>
          <w:lang w:val="en-GB"/>
        </w:rPr>
        <w:t>STRASBOURG</w:t>
      </w:r>
    </w:p>
    <w:p w:rsidRPr="00282178" w:rsidR="00383037" w:rsidP="00282178" w:rsidRDefault="00383037">
      <w:pPr>
        <w:pStyle w:val="JuCase"/>
        <w:ind w:firstLine="0"/>
        <w:jc w:val="center"/>
        <w:rPr>
          <w:b w:val="0"/>
          <w:lang w:val="en-GB"/>
        </w:rPr>
      </w:pPr>
    </w:p>
    <w:p w:rsidRPr="00282178" w:rsidR="00383037" w:rsidP="00282178" w:rsidRDefault="00383037">
      <w:pPr>
        <w:pStyle w:val="JuCase"/>
        <w:ind w:firstLine="0"/>
        <w:jc w:val="center"/>
        <w:rPr>
          <w:b w:val="0"/>
          <w:lang w:val="en-GB"/>
        </w:rPr>
      </w:pPr>
      <w:r w:rsidRPr="00282178">
        <w:rPr>
          <w:b w:val="0"/>
          <w:lang w:val="en-GB"/>
        </w:rPr>
        <w:t>28 March 2017</w:t>
      </w:r>
    </w:p>
    <w:p w:rsidRPr="00282178" w:rsidR="00383037" w:rsidP="00282178" w:rsidRDefault="00383037">
      <w:pPr>
        <w:pStyle w:val="JuCase"/>
        <w:ind w:firstLine="0"/>
        <w:jc w:val="center"/>
        <w:rPr>
          <w:b w:val="0"/>
          <w:lang w:val="en-GB"/>
        </w:rPr>
      </w:pPr>
    </w:p>
    <w:p w:rsidRPr="00282178" w:rsidR="00282178" w:rsidP="00282178" w:rsidRDefault="00282178">
      <w:pPr>
        <w:pStyle w:val="jucase0"/>
        <w:ind w:firstLine="0"/>
        <w:jc w:val="center"/>
        <w:rPr>
          <w:color w:val="FF0000"/>
          <w:sz w:val="28"/>
          <w:szCs w:val="28"/>
          <w:u w:val="single"/>
        </w:rPr>
      </w:pPr>
      <w:r w:rsidRPr="00282178">
        <w:rPr>
          <w:color w:val="FF0000"/>
          <w:sz w:val="28"/>
          <w:szCs w:val="28"/>
          <w:u w:val="single"/>
        </w:rPr>
        <w:t>FINAL</w:t>
      </w:r>
    </w:p>
    <w:p w:rsidRPr="00282178" w:rsidR="00282178" w:rsidP="00282178" w:rsidRDefault="00282178">
      <w:pPr>
        <w:pStyle w:val="jupara"/>
        <w:tabs>
          <w:tab w:val="left" w:pos="4650"/>
        </w:tabs>
        <w:ind w:firstLine="0"/>
        <w:jc w:val="center"/>
        <w:rPr>
          <w:color w:val="FF0000"/>
          <w:sz w:val="28"/>
          <w:szCs w:val="28"/>
        </w:rPr>
      </w:pPr>
    </w:p>
    <w:p w:rsidRPr="00282178" w:rsidR="00282178" w:rsidP="00282178" w:rsidRDefault="00282178">
      <w:pPr>
        <w:pStyle w:val="jupara"/>
        <w:ind w:firstLine="0"/>
        <w:jc w:val="center"/>
        <w:rPr>
          <w:color w:val="FF0000"/>
          <w:sz w:val="28"/>
          <w:szCs w:val="28"/>
        </w:rPr>
      </w:pPr>
      <w:r w:rsidRPr="00282178">
        <w:rPr>
          <w:color w:val="FF0000"/>
          <w:sz w:val="28"/>
          <w:szCs w:val="28"/>
        </w:rPr>
        <w:t>28/06/2017</w:t>
      </w:r>
    </w:p>
    <w:p w:rsidRPr="00282178" w:rsidR="00282178" w:rsidP="00282178" w:rsidRDefault="00282178">
      <w:pPr>
        <w:pStyle w:val="jupara"/>
        <w:ind w:firstLine="0"/>
        <w:jc w:val="center"/>
      </w:pPr>
    </w:p>
    <w:p w:rsidRPr="00282178" w:rsidR="00282178" w:rsidP="00282178" w:rsidRDefault="00282178">
      <w:pPr>
        <w:jc w:val="center"/>
        <w:rPr>
          <w:i/>
          <w:iCs/>
          <w:sz w:val="22"/>
        </w:rPr>
      </w:pPr>
      <w:r w:rsidRPr="00282178">
        <w:rPr>
          <w:i/>
          <w:iCs/>
          <w:sz w:val="22"/>
        </w:rPr>
        <w:t>This judgment has become final under Article 44 § 2 of the Convention. It may be subject to editorial revision.</w:t>
      </w:r>
    </w:p>
    <w:p w:rsidRPr="00282178" w:rsidR="00383037" w:rsidP="00282178" w:rsidRDefault="00383037">
      <w:pPr>
        <w:pStyle w:val="ECHRPara"/>
        <w:sectPr w:rsidRPr="00282178" w:rsidR="00383037" w:rsidSect="00383037">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282178" w:rsidR="00014566" w:rsidP="00282178" w:rsidRDefault="00014566">
      <w:pPr>
        <w:pStyle w:val="JuCase"/>
        <w:rPr>
          <w:bCs/>
          <w:lang w:val="en-GB"/>
        </w:rPr>
      </w:pPr>
      <w:r w:rsidRPr="00282178">
        <w:rPr>
          <w:lang w:val="en-GB"/>
        </w:rPr>
        <w:t xml:space="preserve">In the case of </w:t>
      </w:r>
      <w:r w:rsidRPr="00282178" w:rsidR="008F792B">
        <w:rPr>
          <w:lang w:val="en-GB"/>
        </w:rPr>
        <w:t>Shestopalov v. Russia</w:t>
      </w:r>
      <w:r w:rsidRPr="00282178">
        <w:rPr>
          <w:lang w:val="en-GB"/>
        </w:rPr>
        <w:t>,</w:t>
      </w:r>
    </w:p>
    <w:p w:rsidRPr="00282178" w:rsidR="00014566" w:rsidP="00282178" w:rsidRDefault="00014566">
      <w:pPr>
        <w:pStyle w:val="ECHRPara"/>
        <w:rPr>
          <w:lang w:val="en-GB"/>
        </w:rPr>
      </w:pPr>
      <w:r w:rsidRPr="00282178">
        <w:rPr>
          <w:lang w:val="en-GB"/>
        </w:rPr>
        <w:t>The European Court of Human Rights (</w:t>
      </w:r>
      <w:r w:rsidRPr="00282178" w:rsidR="008F792B">
        <w:rPr>
          <w:lang w:val="en-GB"/>
        </w:rPr>
        <w:t>Third Section</w:t>
      </w:r>
      <w:r w:rsidRPr="00282178">
        <w:rPr>
          <w:lang w:val="en-GB"/>
        </w:rPr>
        <w:t xml:space="preserve">), sitting as a </w:t>
      </w:r>
      <w:r w:rsidRPr="00282178" w:rsidR="008F792B">
        <w:rPr>
          <w:lang w:val="en-GB"/>
        </w:rPr>
        <w:t>Chamber</w:t>
      </w:r>
      <w:r w:rsidRPr="00282178">
        <w:rPr>
          <w:lang w:val="en-GB"/>
        </w:rPr>
        <w:t xml:space="preserve"> composed of:</w:t>
      </w:r>
    </w:p>
    <w:p w:rsidRPr="00282178" w:rsidR="00014566" w:rsidP="00282178" w:rsidRDefault="00383037">
      <w:pPr>
        <w:pStyle w:val="ECHRDecisionBody"/>
        <w:rPr>
          <w:lang w:val="en-GB"/>
        </w:rPr>
      </w:pPr>
      <w:r w:rsidRPr="00282178">
        <w:rPr>
          <w:lang w:val="en-GB"/>
        </w:rPr>
        <w:tab/>
        <w:t>Helena Jäderblom,</w:t>
      </w:r>
      <w:r w:rsidRPr="00282178">
        <w:rPr>
          <w:i/>
          <w:lang w:val="en-GB"/>
        </w:rPr>
        <w:t xml:space="preserve"> President,</w:t>
      </w:r>
      <w:r w:rsidRPr="00282178">
        <w:rPr>
          <w:i/>
          <w:lang w:val="en-GB"/>
        </w:rPr>
        <w:br/>
      </w:r>
      <w:r w:rsidRPr="00282178">
        <w:rPr>
          <w:lang w:val="en-GB"/>
        </w:rPr>
        <w:tab/>
        <w:t>Luis López Guerra,</w:t>
      </w:r>
      <w:r w:rsidRPr="00282178">
        <w:rPr>
          <w:i/>
          <w:lang w:val="en-GB"/>
        </w:rPr>
        <w:br/>
      </w:r>
      <w:r w:rsidRPr="00282178">
        <w:rPr>
          <w:lang w:val="en-GB"/>
        </w:rPr>
        <w:tab/>
        <w:t>Helen Keller,</w:t>
      </w:r>
      <w:r w:rsidRPr="00282178">
        <w:rPr>
          <w:i/>
          <w:lang w:val="en-GB"/>
        </w:rPr>
        <w:br/>
      </w:r>
      <w:r w:rsidRPr="00282178">
        <w:rPr>
          <w:lang w:val="en-GB"/>
        </w:rPr>
        <w:tab/>
        <w:t>Dmitry Dedov,</w:t>
      </w:r>
      <w:r w:rsidRPr="00282178">
        <w:rPr>
          <w:i/>
          <w:lang w:val="en-GB"/>
        </w:rPr>
        <w:br/>
      </w:r>
      <w:r w:rsidRPr="00282178">
        <w:rPr>
          <w:lang w:val="en-GB"/>
        </w:rPr>
        <w:tab/>
        <w:t>Pere Pastor Vilanova,</w:t>
      </w:r>
      <w:r w:rsidRPr="00282178">
        <w:rPr>
          <w:i/>
          <w:lang w:val="en-GB"/>
        </w:rPr>
        <w:br/>
      </w:r>
      <w:r w:rsidRPr="00282178">
        <w:rPr>
          <w:lang w:val="en-GB"/>
        </w:rPr>
        <w:tab/>
        <w:t>Alena Poláčková,</w:t>
      </w:r>
      <w:r w:rsidRPr="00282178">
        <w:rPr>
          <w:i/>
          <w:lang w:val="en-GB"/>
        </w:rPr>
        <w:br/>
      </w:r>
      <w:r w:rsidRPr="00282178">
        <w:rPr>
          <w:lang w:val="en-GB"/>
        </w:rPr>
        <w:tab/>
        <w:t>Georgios A. Serghides,</w:t>
      </w:r>
      <w:r w:rsidRPr="00282178">
        <w:rPr>
          <w:i/>
          <w:lang w:val="en-GB"/>
        </w:rPr>
        <w:t xml:space="preserve"> judges,</w:t>
      </w:r>
      <w:r w:rsidRPr="00282178" w:rsidR="00014566">
        <w:rPr>
          <w:szCs w:val="24"/>
          <w:lang w:val="en-GB"/>
        </w:rPr>
        <w:br/>
      </w:r>
      <w:r w:rsidRPr="00282178" w:rsidR="00014566">
        <w:rPr>
          <w:lang w:val="en-GB"/>
        </w:rPr>
        <w:t xml:space="preserve">and </w:t>
      </w:r>
      <w:r w:rsidRPr="00282178" w:rsidR="008F792B">
        <w:rPr>
          <w:lang w:val="en-GB"/>
        </w:rPr>
        <w:t>Stephen Phillips</w:t>
      </w:r>
      <w:r w:rsidRPr="00282178" w:rsidR="00014566">
        <w:rPr>
          <w:lang w:val="en-GB"/>
        </w:rPr>
        <w:t xml:space="preserve">, </w:t>
      </w:r>
      <w:r w:rsidRPr="00282178" w:rsidR="008F792B">
        <w:rPr>
          <w:i/>
          <w:lang w:val="en-GB"/>
        </w:rPr>
        <w:t xml:space="preserve">Section </w:t>
      </w:r>
      <w:r w:rsidRPr="00282178" w:rsidR="008F792B">
        <w:rPr>
          <w:i/>
          <w:iCs/>
          <w:lang w:val="en-GB"/>
        </w:rPr>
        <w:t>Registrar</w:t>
      </w:r>
      <w:r w:rsidRPr="00282178" w:rsidR="00014566">
        <w:rPr>
          <w:i/>
          <w:lang w:val="en-GB"/>
        </w:rPr>
        <w:t>,</w:t>
      </w:r>
    </w:p>
    <w:p w:rsidRPr="00282178" w:rsidR="00014566" w:rsidP="00282178" w:rsidRDefault="00014566">
      <w:pPr>
        <w:pStyle w:val="ECHRPara"/>
        <w:rPr>
          <w:lang w:val="en-GB"/>
        </w:rPr>
      </w:pPr>
      <w:r w:rsidRPr="00282178">
        <w:rPr>
          <w:lang w:val="en-GB"/>
        </w:rPr>
        <w:t xml:space="preserve">Having deliberated in private on </w:t>
      </w:r>
      <w:r w:rsidRPr="00282178" w:rsidR="00383037">
        <w:rPr>
          <w:lang w:val="en-GB"/>
        </w:rPr>
        <w:t>7 March 2017</w:t>
      </w:r>
      <w:r w:rsidRPr="00282178">
        <w:rPr>
          <w:lang w:val="en-GB"/>
        </w:rPr>
        <w:t>,</w:t>
      </w:r>
    </w:p>
    <w:p w:rsidRPr="00282178" w:rsidR="00014566" w:rsidP="00282178" w:rsidRDefault="00014566">
      <w:pPr>
        <w:pStyle w:val="ECHRPara"/>
        <w:rPr>
          <w:lang w:val="en-GB"/>
        </w:rPr>
      </w:pPr>
      <w:r w:rsidRPr="00282178">
        <w:rPr>
          <w:lang w:val="en-GB"/>
        </w:rPr>
        <w:t>Delivers the following judgment, which was adopted on that date:</w:t>
      </w:r>
    </w:p>
    <w:p w:rsidRPr="00282178" w:rsidR="00014566" w:rsidP="00282178" w:rsidRDefault="00014566">
      <w:pPr>
        <w:pStyle w:val="ECHRTitle1"/>
        <w:rPr>
          <w:lang w:val="en-GB"/>
        </w:rPr>
      </w:pPr>
      <w:r w:rsidRPr="00282178">
        <w:rPr>
          <w:lang w:val="en-GB"/>
        </w:rPr>
        <w:t>PROCEDURE</w:t>
      </w:r>
    </w:p>
    <w:p w:rsidRPr="00282178" w:rsidR="00A440A3"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w:t>
      </w:r>
      <w:r w:rsidRPr="00282178">
        <w:rPr>
          <w:lang w:val="en-GB"/>
        </w:rPr>
        <w:fldChar w:fldCharType="end"/>
      </w:r>
      <w:r w:rsidRPr="00282178" w:rsidR="00014566">
        <w:rPr>
          <w:lang w:val="en-GB"/>
        </w:rPr>
        <w:t xml:space="preserve">.  The case originated in </w:t>
      </w:r>
      <w:r w:rsidRPr="00282178">
        <w:rPr>
          <w:lang w:val="en-GB"/>
        </w:rPr>
        <w:t>an application (no. 46248/07)</w:t>
      </w:r>
      <w:r w:rsidRPr="00282178" w:rsidR="00014566">
        <w:rPr>
          <w:lang w:val="en-GB"/>
        </w:rPr>
        <w:t xml:space="preserve"> against </w:t>
      </w:r>
      <w:r w:rsidRPr="00282178">
        <w:rPr>
          <w:lang w:val="en-GB"/>
        </w:rPr>
        <w:t>the Russian Federation</w:t>
      </w:r>
      <w:r w:rsidRPr="00282178" w:rsidR="00014566">
        <w:rPr>
          <w:lang w:val="en-GB"/>
        </w:rPr>
        <w:t xml:space="preserve"> lodged with the </w:t>
      </w:r>
      <w:r w:rsidRPr="00282178">
        <w:rPr>
          <w:lang w:val="en-GB"/>
        </w:rPr>
        <w:t>Court under Article 34</w:t>
      </w:r>
      <w:r w:rsidRPr="00282178" w:rsidR="00014566">
        <w:rPr>
          <w:lang w:val="en-GB"/>
        </w:rPr>
        <w:t xml:space="preserve"> of the Convention for the Protection of Human Rights and Fundamental Freedoms (“the Convention”) by </w:t>
      </w:r>
      <w:r w:rsidRPr="00282178">
        <w:rPr>
          <w:lang w:val="en-GB"/>
        </w:rPr>
        <w:t>a Russian national, Mr Anton Sergeyevich Shestopalov (“the applicant”), on 16 October 2007</w:t>
      </w:r>
      <w:r w:rsidRPr="00282178" w:rsidR="00014566">
        <w:rPr>
          <w:lang w:val="en-GB"/>
        </w:rPr>
        <w:t>.</w:t>
      </w:r>
    </w:p>
    <w:p w:rsidRPr="00282178" w:rsidR="008F792B"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w:t>
      </w:r>
      <w:r w:rsidRPr="00282178">
        <w:rPr>
          <w:lang w:val="en-GB"/>
        </w:rPr>
        <w:fldChar w:fldCharType="end"/>
      </w:r>
      <w:r w:rsidRPr="00282178" w:rsidR="00014566">
        <w:rPr>
          <w:lang w:val="en-GB"/>
        </w:rPr>
        <w:t>.  </w:t>
      </w:r>
      <w:r w:rsidRPr="00282178">
        <w:rPr>
          <w:lang w:val="en-GB"/>
        </w:rPr>
        <w:t xml:space="preserve">The </w:t>
      </w:r>
      <w:r w:rsidRPr="00282178" w:rsidR="007359A5">
        <w:rPr>
          <w:lang w:val="en-GB"/>
        </w:rPr>
        <w:t xml:space="preserve">applicant was represented by </w:t>
      </w:r>
      <w:r w:rsidRPr="00282178" w:rsidR="007C2C8E">
        <w:rPr>
          <w:lang w:val="en-GB"/>
        </w:rPr>
        <w:t>Mr A.I. Ryzhov, Ms O.A. Sadovskaya and Mr I.A. Kalyapin, lawyers from the Committee Against Torture, a non-governmental organisation based in Nizhniy Novgorod</w:t>
      </w:r>
      <w:r w:rsidRPr="00282178" w:rsidR="007359A5">
        <w:rPr>
          <w:lang w:val="en-GB"/>
        </w:rPr>
        <w:t>.</w:t>
      </w:r>
      <w:r w:rsidRPr="00282178">
        <w:rPr>
          <w:lang w:val="en-GB"/>
        </w:rPr>
        <w:t xml:space="preserve"> </w:t>
      </w:r>
      <w:r w:rsidRPr="00282178" w:rsidR="007359A5">
        <w:rPr>
          <w:lang w:val="en-GB"/>
        </w:rPr>
        <w:t xml:space="preserve">The Russian Government (“the Government”) were represented by </w:t>
      </w:r>
      <w:r w:rsidRPr="00282178" w:rsidR="007C2C8E">
        <w:rPr>
          <w:lang w:val="en-GB"/>
        </w:rPr>
        <w:t>Mr G. </w:t>
      </w:r>
      <w:r w:rsidRPr="00282178" w:rsidR="007359A5">
        <w:rPr>
          <w:lang w:val="en-GB"/>
        </w:rPr>
        <w:t>Matyushkin, the Representative of the Russian Federation to the European Court of Human Rights</w:t>
      </w:r>
      <w:r w:rsidRPr="00282178" w:rsidR="00014566">
        <w:rPr>
          <w:lang w:val="en-GB"/>
        </w:rPr>
        <w:t>.</w:t>
      </w:r>
    </w:p>
    <w:p w:rsidRPr="00282178" w:rsidR="00014566"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w:t>
      </w:r>
      <w:r w:rsidRPr="00282178">
        <w:rPr>
          <w:lang w:val="en-GB"/>
        </w:rPr>
        <w:fldChar w:fldCharType="end"/>
      </w:r>
      <w:r w:rsidRPr="00282178">
        <w:rPr>
          <w:lang w:val="en-GB"/>
        </w:rPr>
        <w:t>.  The applicant alleged</w:t>
      </w:r>
      <w:r w:rsidRPr="00282178" w:rsidR="007359A5">
        <w:rPr>
          <w:lang w:val="en-GB"/>
        </w:rPr>
        <w:t xml:space="preserve">, in particular, that </w:t>
      </w:r>
      <w:r w:rsidRPr="00282178" w:rsidR="00690DB1">
        <w:rPr>
          <w:lang w:val="en-GB"/>
        </w:rPr>
        <w:t>t</w:t>
      </w:r>
      <w:r w:rsidRPr="00282178" w:rsidR="007359A5">
        <w:rPr>
          <w:lang w:val="en-GB"/>
        </w:rPr>
        <w:t xml:space="preserve">he </w:t>
      </w:r>
      <w:r w:rsidRPr="00282178" w:rsidR="00690DB1">
        <w:rPr>
          <w:lang w:val="en-GB"/>
        </w:rPr>
        <w:t xml:space="preserve">police </w:t>
      </w:r>
      <w:r w:rsidRPr="00282178" w:rsidR="007359A5">
        <w:rPr>
          <w:lang w:val="en-GB"/>
        </w:rPr>
        <w:t>had subjected</w:t>
      </w:r>
      <w:r w:rsidRPr="00282178" w:rsidR="00690DB1">
        <w:rPr>
          <w:lang w:val="en-GB"/>
        </w:rPr>
        <w:t xml:space="preserve"> him</w:t>
      </w:r>
      <w:r w:rsidRPr="00282178" w:rsidR="007359A5">
        <w:rPr>
          <w:lang w:val="en-GB"/>
        </w:rPr>
        <w:t xml:space="preserve"> to ill</w:t>
      </w:r>
      <w:r w:rsidRPr="00282178" w:rsidR="007359A5">
        <w:rPr>
          <w:lang w:val="en-GB"/>
        </w:rPr>
        <w:noBreakHyphen/>
        <w:t xml:space="preserve">treatment in custody in order to obtain </w:t>
      </w:r>
      <w:r w:rsidRPr="00282178" w:rsidR="00690DB1">
        <w:rPr>
          <w:lang w:val="en-GB"/>
        </w:rPr>
        <w:t xml:space="preserve">a </w:t>
      </w:r>
      <w:r w:rsidRPr="00282178" w:rsidR="007359A5">
        <w:rPr>
          <w:lang w:val="en-GB"/>
        </w:rPr>
        <w:t>confession</w:t>
      </w:r>
      <w:r w:rsidRPr="00282178" w:rsidR="001B0102">
        <w:rPr>
          <w:lang w:val="en-GB"/>
        </w:rPr>
        <w:t>,</w:t>
      </w:r>
      <w:r w:rsidRPr="00282178" w:rsidR="007359A5">
        <w:rPr>
          <w:lang w:val="en-GB"/>
        </w:rPr>
        <w:t xml:space="preserve"> and that no effective investigation into his ill-treatment had been carried out.</w:t>
      </w:r>
    </w:p>
    <w:p w:rsidRPr="00282178" w:rsidR="00014566"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w:t>
      </w:r>
      <w:r w:rsidRPr="00282178">
        <w:rPr>
          <w:lang w:val="en-GB"/>
        </w:rPr>
        <w:fldChar w:fldCharType="end"/>
      </w:r>
      <w:r w:rsidRPr="00282178" w:rsidR="00014566">
        <w:rPr>
          <w:lang w:val="en-GB"/>
        </w:rPr>
        <w:t>.  </w:t>
      </w:r>
      <w:r w:rsidRPr="00282178">
        <w:rPr>
          <w:lang w:val="en-GB"/>
        </w:rPr>
        <w:t xml:space="preserve">On </w:t>
      </w:r>
      <w:r w:rsidRPr="00282178">
        <w:rPr>
          <w:szCs w:val="24"/>
          <w:lang w:val="en-GB"/>
        </w:rPr>
        <w:t>15 October 2013</w:t>
      </w:r>
      <w:r w:rsidRPr="00282178" w:rsidR="00014566">
        <w:rPr>
          <w:lang w:val="en-GB"/>
        </w:rPr>
        <w:t xml:space="preserve"> the </w:t>
      </w:r>
      <w:r w:rsidRPr="00282178">
        <w:rPr>
          <w:lang w:val="en-GB"/>
        </w:rPr>
        <w:t xml:space="preserve">complaints concerning </w:t>
      </w:r>
      <w:r w:rsidRPr="00282178" w:rsidR="00F26227">
        <w:rPr>
          <w:lang w:val="en-GB"/>
        </w:rPr>
        <w:t>the applicant</w:t>
      </w:r>
      <w:r w:rsidRPr="00282178" w:rsidR="00282178">
        <w:rPr>
          <w:lang w:val="en-GB"/>
        </w:rPr>
        <w:t>’</w:t>
      </w:r>
      <w:r w:rsidRPr="00282178" w:rsidR="00F26227">
        <w:rPr>
          <w:lang w:val="en-GB"/>
        </w:rPr>
        <w:t xml:space="preserve">s alleged ill-treatment </w:t>
      </w:r>
      <w:r w:rsidRPr="00282178">
        <w:rPr>
          <w:lang w:val="en-GB"/>
        </w:rPr>
        <w:t>were communicated to the Government and the remainder of the application was declared inadmissible</w:t>
      </w:r>
      <w:r w:rsidRPr="00282178">
        <w:rPr>
          <w:szCs w:val="24"/>
          <w:lang w:val="en-GB"/>
        </w:rPr>
        <w:t xml:space="preserve"> </w:t>
      </w:r>
      <w:r w:rsidRPr="00282178">
        <w:rPr>
          <w:lang w:val="en-GB"/>
        </w:rPr>
        <w:t>pursuant to Rule</w:t>
      </w:r>
      <w:r w:rsidRPr="00282178" w:rsidR="00383037">
        <w:rPr>
          <w:lang w:val="en-GB"/>
        </w:rPr>
        <w:t> </w:t>
      </w:r>
      <w:r w:rsidRPr="00282178">
        <w:rPr>
          <w:lang w:val="en-GB"/>
        </w:rPr>
        <w:t>54</w:t>
      </w:r>
      <w:r w:rsidRPr="00282178" w:rsidR="00383037">
        <w:rPr>
          <w:lang w:val="en-GB"/>
        </w:rPr>
        <w:t> </w:t>
      </w:r>
      <w:r w:rsidRPr="00282178">
        <w:rPr>
          <w:lang w:val="en-GB"/>
        </w:rPr>
        <w:t>§ 3 of the Rules of Court</w:t>
      </w:r>
      <w:r w:rsidRPr="00282178" w:rsidR="00014566">
        <w:rPr>
          <w:lang w:val="en-GB"/>
        </w:rPr>
        <w:t>.</w:t>
      </w:r>
    </w:p>
    <w:p w:rsidRPr="00282178" w:rsidR="001B4811" w:rsidP="00282178" w:rsidRDefault="00F26227">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w:t>
      </w:r>
      <w:r w:rsidRPr="00282178">
        <w:rPr>
          <w:lang w:val="en-GB"/>
        </w:rPr>
        <w:fldChar w:fldCharType="end"/>
      </w:r>
      <w:r w:rsidRPr="00282178">
        <w:rPr>
          <w:lang w:val="en-GB"/>
        </w:rPr>
        <w:t>.  </w:t>
      </w:r>
      <w:r w:rsidRPr="00282178" w:rsidR="001B4811">
        <w:rPr>
          <w:lang w:val="en-GB"/>
        </w:rPr>
        <w:t xml:space="preserve">The parties submitted observations on the admissibility and merits of the case. In addition, third-party comments were received from </w:t>
      </w:r>
      <w:r w:rsidRPr="00282178" w:rsidR="00A17ED2">
        <w:rPr>
          <w:lang w:val="en-GB"/>
        </w:rPr>
        <w:t>Redress</w:t>
      </w:r>
      <w:r w:rsidRPr="00282178" w:rsidR="001B4811">
        <w:rPr>
          <w:lang w:val="en-GB"/>
        </w:rPr>
        <w:t xml:space="preserve">, </w:t>
      </w:r>
      <w:r w:rsidRPr="00282178" w:rsidR="001B0102">
        <w:rPr>
          <w:lang w:val="en-GB"/>
        </w:rPr>
        <w:t xml:space="preserve">a human rights organisation, </w:t>
      </w:r>
      <w:r w:rsidRPr="00282178" w:rsidR="001B4811">
        <w:rPr>
          <w:lang w:val="en-GB"/>
        </w:rPr>
        <w:t>which had been given leave to intervene in the written procedure (Article 36 § 2 of the Convention and Rule 44 § 3 of the Rules of Court).</w:t>
      </w:r>
    </w:p>
    <w:p w:rsidRPr="00282178" w:rsidR="00014566" w:rsidP="00282178" w:rsidRDefault="00014566">
      <w:pPr>
        <w:pStyle w:val="ECHRTitle1"/>
        <w:rPr>
          <w:lang w:val="en-GB"/>
        </w:rPr>
      </w:pPr>
      <w:r w:rsidRPr="00282178">
        <w:rPr>
          <w:lang w:val="en-GB"/>
        </w:rPr>
        <w:t>THE FACTS</w:t>
      </w:r>
    </w:p>
    <w:p w:rsidRPr="00282178" w:rsidR="00014566" w:rsidP="00282178" w:rsidRDefault="00014566">
      <w:pPr>
        <w:pStyle w:val="ECHRHeading1"/>
        <w:rPr>
          <w:lang w:val="en-GB"/>
        </w:rPr>
      </w:pPr>
      <w:r w:rsidRPr="00282178">
        <w:rPr>
          <w:lang w:val="en-GB"/>
        </w:rPr>
        <w:t>THE CIRCUMSTANCES OF THE CASE</w:t>
      </w:r>
    </w:p>
    <w:p w:rsidRPr="00282178" w:rsidR="00014566" w:rsidP="00282178" w:rsidRDefault="00A17ED2">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6</w:t>
      </w:r>
      <w:r w:rsidRPr="00282178">
        <w:rPr>
          <w:lang w:val="en-GB"/>
        </w:rPr>
        <w:fldChar w:fldCharType="end"/>
      </w:r>
      <w:r w:rsidRPr="00282178">
        <w:rPr>
          <w:lang w:val="en-GB"/>
        </w:rPr>
        <w:t>.  </w:t>
      </w:r>
      <w:r w:rsidRPr="00282178" w:rsidR="00014566">
        <w:rPr>
          <w:lang w:val="en-GB"/>
        </w:rPr>
        <w:t xml:space="preserve">The </w:t>
      </w:r>
      <w:r w:rsidRPr="00282178" w:rsidR="008F792B">
        <w:rPr>
          <w:lang w:val="en-GB"/>
        </w:rPr>
        <w:t>applicant was born in 1986 and lives</w:t>
      </w:r>
      <w:r w:rsidRPr="00282178" w:rsidR="00014566">
        <w:rPr>
          <w:lang w:val="en-GB"/>
        </w:rPr>
        <w:t xml:space="preserve"> in </w:t>
      </w:r>
      <w:r w:rsidRPr="00282178" w:rsidR="008F792B">
        <w:rPr>
          <w:lang w:val="en-GB"/>
        </w:rPr>
        <w:t>Nizhniy Novgorod</w:t>
      </w:r>
      <w:r w:rsidRPr="00282178" w:rsidR="00014566">
        <w:rPr>
          <w:lang w:val="en-GB"/>
        </w:rPr>
        <w:t>.</w:t>
      </w:r>
    </w:p>
    <w:p w:rsidRPr="00282178" w:rsidR="00863DCD" w:rsidP="00282178" w:rsidRDefault="00CC68DD">
      <w:pPr>
        <w:pStyle w:val="ECHRHeading2"/>
        <w:rPr>
          <w:lang w:val="en-GB"/>
        </w:rPr>
      </w:pPr>
      <w:r w:rsidRPr="00282178">
        <w:rPr>
          <w:lang w:val="en-GB"/>
        </w:rPr>
        <w:t>A.  </w:t>
      </w:r>
      <w:r w:rsidRPr="00282178" w:rsidR="00863DCD">
        <w:rPr>
          <w:lang w:val="en-GB"/>
        </w:rPr>
        <w:t>The applicant</w:t>
      </w:r>
      <w:r w:rsidRPr="00282178" w:rsidR="00282178">
        <w:rPr>
          <w:lang w:val="en-GB"/>
        </w:rPr>
        <w:t>’</w:t>
      </w:r>
      <w:r w:rsidRPr="00282178" w:rsidR="00863DCD">
        <w:rPr>
          <w:lang w:val="en-GB"/>
        </w:rPr>
        <w:t>s a</w:t>
      </w:r>
      <w:r w:rsidRPr="00282178">
        <w:rPr>
          <w:lang w:val="en-GB"/>
        </w:rPr>
        <w:t xml:space="preserve">lleged ill-treatment at the </w:t>
      </w:r>
      <w:r w:rsidRPr="00282178" w:rsidR="004C67BA">
        <w:rPr>
          <w:lang w:val="en-GB"/>
        </w:rPr>
        <w:t xml:space="preserve">Sovetskiy district </w:t>
      </w:r>
      <w:r w:rsidRPr="00282178">
        <w:rPr>
          <w:lang w:val="en-GB"/>
        </w:rPr>
        <w:t>police station</w:t>
      </w:r>
      <w:r w:rsidRPr="00282178" w:rsidR="004C67BA">
        <w:rPr>
          <w:lang w:val="en-GB"/>
        </w:rPr>
        <w:t xml:space="preserve"> in Nizhniy Novgorod</w:t>
      </w:r>
    </w:p>
    <w:p w:rsidRPr="00282178" w:rsidR="00863DCD" w:rsidP="00282178" w:rsidRDefault="00B51019">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w:t>
      </w:r>
      <w:r w:rsidRPr="00282178">
        <w:rPr>
          <w:lang w:val="en-GB"/>
        </w:rPr>
        <w:fldChar w:fldCharType="end"/>
      </w:r>
      <w:r w:rsidRPr="00282178">
        <w:rPr>
          <w:lang w:val="en-GB"/>
        </w:rPr>
        <w:t>.  </w:t>
      </w:r>
      <w:r w:rsidRPr="00282178" w:rsidR="003432B8">
        <w:rPr>
          <w:lang w:val="en-GB"/>
        </w:rPr>
        <w:t>At about 10.30 a.m. o</w:t>
      </w:r>
      <w:r w:rsidRPr="00282178" w:rsidR="00863DCD">
        <w:rPr>
          <w:lang w:val="en-GB"/>
        </w:rPr>
        <w:t>n 24 May 2004 two police</w:t>
      </w:r>
      <w:r w:rsidRPr="00282178" w:rsidR="0019349D">
        <w:rPr>
          <w:lang w:val="en-GB"/>
        </w:rPr>
        <w:t xml:space="preserve"> officers from the Sovetskiy district police </w:t>
      </w:r>
      <w:r w:rsidRPr="00282178" w:rsidR="004B077F">
        <w:rPr>
          <w:lang w:val="en-GB"/>
        </w:rPr>
        <w:t xml:space="preserve">visited </w:t>
      </w:r>
      <w:r w:rsidRPr="00282178" w:rsidR="00863DCD">
        <w:rPr>
          <w:lang w:val="en-GB"/>
        </w:rPr>
        <w:t xml:space="preserve">the applicant and invited </w:t>
      </w:r>
      <w:r w:rsidRPr="00282178" w:rsidR="004B077F">
        <w:rPr>
          <w:lang w:val="en-GB"/>
        </w:rPr>
        <w:t>him</w:t>
      </w:r>
      <w:r w:rsidRPr="00282178" w:rsidR="00DA0144">
        <w:rPr>
          <w:lang w:val="en-GB"/>
        </w:rPr>
        <w:t xml:space="preserve"> to answer some questions</w:t>
      </w:r>
      <w:r w:rsidRPr="00282178" w:rsidR="004B077F">
        <w:rPr>
          <w:lang w:val="en-GB"/>
        </w:rPr>
        <w:t xml:space="preserve">. </w:t>
      </w:r>
      <w:r w:rsidRPr="00282178" w:rsidR="009A7AD0">
        <w:rPr>
          <w:lang w:val="en-GB"/>
        </w:rPr>
        <w:t xml:space="preserve">With the permission of his </w:t>
      </w:r>
      <w:r w:rsidRPr="00282178" w:rsidR="00863DCD">
        <w:rPr>
          <w:lang w:val="en-GB"/>
        </w:rPr>
        <w:t>mother</w:t>
      </w:r>
      <w:r w:rsidRPr="00282178" w:rsidR="009A7AD0">
        <w:rPr>
          <w:lang w:val="en-GB"/>
        </w:rPr>
        <w:t xml:space="preserve">, </w:t>
      </w:r>
      <w:r w:rsidRPr="00282178" w:rsidR="004B077F">
        <w:rPr>
          <w:lang w:val="en-GB"/>
        </w:rPr>
        <w:t xml:space="preserve">the applicant, a minor at the time, </w:t>
      </w:r>
      <w:r w:rsidRPr="00282178" w:rsidR="005D6B44">
        <w:rPr>
          <w:lang w:val="en-GB"/>
        </w:rPr>
        <w:t xml:space="preserve">accompanied </w:t>
      </w:r>
      <w:r w:rsidRPr="00282178" w:rsidR="009A7AD0">
        <w:rPr>
          <w:lang w:val="en-GB"/>
        </w:rPr>
        <w:t>them</w:t>
      </w:r>
      <w:r w:rsidRPr="00282178" w:rsidR="004B077F">
        <w:rPr>
          <w:lang w:val="en-GB"/>
        </w:rPr>
        <w:t xml:space="preserve"> to the </w:t>
      </w:r>
      <w:r w:rsidRPr="00282178" w:rsidR="005D6B44">
        <w:rPr>
          <w:lang w:val="en-GB"/>
        </w:rPr>
        <w:t xml:space="preserve">Sovetskiy district </w:t>
      </w:r>
      <w:r w:rsidRPr="00282178" w:rsidR="004B077F">
        <w:rPr>
          <w:lang w:val="en-GB"/>
        </w:rPr>
        <w:t>police station</w:t>
      </w:r>
      <w:r w:rsidRPr="00282178" w:rsidR="005D6B44">
        <w:rPr>
          <w:lang w:val="en-GB"/>
        </w:rPr>
        <w:t xml:space="preserve"> in Nizhniy Novgorod</w:t>
      </w:r>
      <w:r w:rsidRPr="00282178" w:rsidR="009A7AD0">
        <w:rPr>
          <w:lang w:val="en-GB"/>
        </w:rPr>
        <w:t>.</w:t>
      </w:r>
    </w:p>
    <w:p w:rsidRPr="00282178" w:rsidR="00A440A3" w:rsidP="00282178" w:rsidRDefault="004B077F">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8</w:t>
      </w:r>
      <w:r w:rsidRPr="00282178">
        <w:rPr>
          <w:lang w:val="en-GB"/>
        </w:rPr>
        <w:fldChar w:fldCharType="end"/>
      </w:r>
      <w:r w:rsidRPr="00282178">
        <w:rPr>
          <w:lang w:val="en-GB"/>
        </w:rPr>
        <w:t>.  </w:t>
      </w:r>
      <w:r w:rsidRPr="00282178" w:rsidR="005D6B44">
        <w:rPr>
          <w:lang w:val="en-GB"/>
        </w:rPr>
        <w:t>The applicant</w:t>
      </w:r>
      <w:r w:rsidRPr="00282178" w:rsidR="00282178">
        <w:rPr>
          <w:lang w:val="en-GB"/>
        </w:rPr>
        <w:t>’</w:t>
      </w:r>
      <w:r w:rsidRPr="00282178" w:rsidR="005D6B44">
        <w:rPr>
          <w:lang w:val="en-GB"/>
        </w:rPr>
        <w:t>s interview took place</w:t>
      </w:r>
      <w:r w:rsidRPr="00282178" w:rsidR="008C0C93">
        <w:rPr>
          <w:lang w:val="en-GB"/>
        </w:rPr>
        <w:t xml:space="preserve"> in room no. 306</w:t>
      </w:r>
      <w:r w:rsidRPr="00282178" w:rsidR="005D6B44">
        <w:rPr>
          <w:lang w:val="en-GB"/>
        </w:rPr>
        <w:t>.</w:t>
      </w:r>
      <w:r w:rsidRPr="00282178" w:rsidR="0019349D">
        <w:rPr>
          <w:lang w:val="en-GB"/>
        </w:rPr>
        <w:t xml:space="preserve"> </w:t>
      </w:r>
      <w:r w:rsidRPr="00282178" w:rsidR="005D6B44">
        <w:rPr>
          <w:lang w:val="en-GB"/>
        </w:rPr>
        <w:t>He</w:t>
      </w:r>
      <w:r w:rsidRPr="00282178" w:rsidR="00863DCD">
        <w:rPr>
          <w:lang w:val="en-GB"/>
        </w:rPr>
        <w:t xml:space="preserve"> was </w:t>
      </w:r>
      <w:r w:rsidRPr="00282178" w:rsidR="009A7AD0">
        <w:rPr>
          <w:lang w:val="en-GB"/>
        </w:rPr>
        <w:t xml:space="preserve">asked questions concerning </w:t>
      </w:r>
      <w:r w:rsidRPr="00282178" w:rsidR="00501FA7">
        <w:rPr>
          <w:lang w:val="en-GB"/>
        </w:rPr>
        <w:t xml:space="preserve">the </w:t>
      </w:r>
      <w:r w:rsidRPr="00282178" w:rsidR="009A7AD0">
        <w:rPr>
          <w:lang w:val="en-GB"/>
        </w:rPr>
        <w:t>rape of a girl he knew</w:t>
      </w:r>
      <w:r w:rsidRPr="00282178" w:rsidR="005D6B44">
        <w:rPr>
          <w:lang w:val="en-GB"/>
        </w:rPr>
        <w:t>, but</w:t>
      </w:r>
      <w:r w:rsidRPr="00282178" w:rsidR="00863DCD">
        <w:rPr>
          <w:lang w:val="en-GB"/>
        </w:rPr>
        <w:t xml:space="preserve"> stated that he </w:t>
      </w:r>
      <w:r w:rsidRPr="00282178" w:rsidR="009A7AD0">
        <w:rPr>
          <w:lang w:val="en-GB"/>
        </w:rPr>
        <w:t>had nothing to do with the crime.</w:t>
      </w:r>
    </w:p>
    <w:p w:rsidRPr="00282178" w:rsidR="00863DCD" w:rsidP="00282178" w:rsidRDefault="00863DC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9</w:t>
      </w:r>
      <w:r w:rsidRPr="00282178">
        <w:rPr>
          <w:lang w:val="en-GB"/>
        </w:rPr>
        <w:fldChar w:fldCharType="end"/>
      </w:r>
      <w:r w:rsidRPr="00282178">
        <w:rPr>
          <w:lang w:val="en-GB"/>
        </w:rPr>
        <w:t>.  </w:t>
      </w:r>
      <w:r w:rsidRPr="00282178" w:rsidR="00501FA7">
        <w:rPr>
          <w:lang w:val="en-GB"/>
        </w:rPr>
        <w:t>According to the applicant, some p</w:t>
      </w:r>
      <w:r w:rsidRPr="00282178">
        <w:rPr>
          <w:lang w:val="en-GB"/>
        </w:rPr>
        <w:t xml:space="preserve">olice officers tied </w:t>
      </w:r>
      <w:r w:rsidRPr="00282178" w:rsidR="009A7AD0">
        <w:rPr>
          <w:lang w:val="en-GB"/>
        </w:rPr>
        <w:t xml:space="preserve">him up and put him on the floor. About forty minutes later </w:t>
      </w:r>
      <w:r w:rsidRPr="00282178" w:rsidR="00E14A88">
        <w:rPr>
          <w:lang w:val="en-GB"/>
        </w:rPr>
        <w:t>they untied him</w:t>
      </w:r>
      <w:r w:rsidRPr="00282178" w:rsidR="0039017B">
        <w:rPr>
          <w:lang w:val="en-GB"/>
        </w:rPr>
        <w:t xml:space="preserve"> and </w:t>
      </w:r>
      <w:r w:rsidRPr="00282178" w:rsidR="009A7AD0">
        <w:rPr>
          <w:lang w:val="en-GB"/>
        </w:rPr>
        <w:t xml:space="preserve">requested </w:t>
      </w:r>
      <w:r w:rsidRPr="00282178" w:rsidR="0039017B">
        <w:rPr>
          <w:lang w:val="en-GB"/>
        </w:rPr>
        <w:t xml:space="preserve">that he </w:t>
      </w:r>
      <w:r w:rsidRPr="00282178" w:rsidR="009A7AD0">
        <w:rPr>
          <w:lang w:val="en-GB"/>
        </w:rPr>
        <w:t xml:space="preserve">confess to the </w:t>
      </w:r>
      <w:r w:rsidRPr="00282178" w:rsidR="004C67BA">
        <w:rPr>
          <w:lang w:val="en-GB"/>
        </w:rPr>
        <w:t>rape</w:t>
      </w:r>
      <w:r w:rsidRPr="00282178" w:rsidR="009A7AD0">
        <w:rPr>
          <w:lang w:val="en-GB"/>
        </w:rPr>
        <w:t xml:space="preserve">. </w:t>
      </w:r>
      <w:r w:rsidRPr="00282178" w:rsidR="00501FA7">
        <w:rPr>
          <w:lang w:val="en-GB"/>
        </w:rPr>
        <w:t>He refused. F</w:t>
      </w:r>
      <w:r w:rsidRPr="00282178" w:rsidR="00C575F2">
        <w:rPr>
          <w:lang w:val="en-GB"/>
        </w:rPr>
        <w:t>our or five police officers punched and kicke</w:t>
      </w:r>
      <w:r w:rsidRPr="00282178" w:rsidR="008C0C93">
        <w:rPr>
          <w:lang w:val="en-GB"/>
        </w:rPr>
        <w:t>d him i</w:t>
      </w:r>
      <w:r w:rsidRPr="00282178" w:rsidR="00C575F2">
        <w:rPr>
          <w:lang w:val="en-GB"/>
        </w:rPr>
        <w:t xml:space="preserve">n the head and body, </w:t>
      </w:r>
      <w:r w:rsidRPr="00282178" w:rsidR="00BF2F22">
        <w:rPr>
          <w:lang w:val="en-GB"/>
        </w:rPr>
        <w:t xml:space="preserve">throttled him with </w:t>
      </w:r>
      <w:r w:rsidRPr="00282178" w:rsidR="00C575F2">
        <w:rPr>
          <w:lang w:val="en-GB"/>
        </w:rPr>
        <w:t xml:space="preserve">a </w:t>
      </w:r>
      <w:r w:rsidRPr="00282178" w:rsidR="00BF2F22">
        <w:rPr>
          <w:lang w:val="en-GB"/>
        </w:rPr>
        <w:t>baton</w:t>
      </w:r>
      <w:r w:rsidRPr="00282178" w:rsidR="003C212C">
        <w:rPr>
          <w:lang w:val="en-GB"/>
        </w:rPr>
        <w:t>,</w:t>
      </w:r>
      <w:r w:rsidRPr="00282178" w:rsidR="00C575F2">
        <w:rPr>
          <w:lang w:val="en-GB"/>
        </w:rPr>
        <w:t xml:space="preserve"> </w:t>
      </w:r>
      <w:r w:rsidRPr="00282178" w:rsidR="003C212C">
        <w:rPr>
          <w:lang w:val="en-GB"/>
        </w:rPr>
        <w:t xml:space="preserve">put </w:t>
      </w:r>
      <w:r w:rsidRPr="00282178" w:rsidR="00C575F2">
        <w:rPr>
          <w:lang w:val="en-GB"/>
        </w:rPr>
        <w:t>a plastic bag over his head</w:t>
      </w:r>
      <w:r w:rsidRPr="00282178" w:rsidR="003C212C">
        <w:rPr>
          <w:lang w:val="en-GB"/>
        </w:rPr>
        <w:t xml:space="preserve"> and</w:t>
      </w:r>
      <w:r w:rsidRPr="00282178" w:rsidR="004B5784">
        <w:rPr>
          <w:lang w:val="en-GB"/>
        </w:rPr>
        <w:t xml:space="preserve"> blocked</w:t>
      </w:r>
      <w:r w:rsidRPr="00282178" w:rsidR="003C212C">
        <w:rPr>
          <w:lang w:val="en-GB"/>
        </w:rPr>
        <w:t xml:space="preserve"> off his access to air</w:t>
      </w:r>
      <w:r w:rsidRPr="00282178" w:rsidR="00C575F2">
        <w:rPr>
          <w:lang w:val="en-GB"/>
        </w:rPr>
        <w:t xml:space="preserve">, sat and jumped on him having covered him with a blanket, grabbed him by the ears and forced him to </w:t>
      </w:r>
      <w:r w:rsidRPr="00282178" w:rsidR="00993AA0">
        <w:rPr>
          <w:lang w:val="en-GB"/>
        </w:rPr>
        <w:t>do the splits</w:t>
      </w:r>
      <w:r w:rsidRPr="00282178" w:rsidR="00C575F2">
        <w:rPr>
          <w:lang w:val="en-GB"/>
        </w:rPr>
        <w:t>.</w:t>
      </w:r>
    </w:p>
    <w:p w:rsidRPr="00282178" w:rsidR="00863DCD" w:rsidP="00282178" w:rsidRDefault="00863DC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10</w:t>
      </w:r>
      <w:r w:rsidRPr="00282178">
        <w:rPr>
          <w:lang w:val="en-GB"/>
        </w:rPr>
        <w:fldChar w:fldCharType="end"/>
      </w:r>
      <w:r w:rsidRPr="00282178">
        <w:rPr>
          <w:lang w:val="en-GB"/>
        </w:rPr>
        <w:t>.  </w:t>
      </w:r>
      <w:r w:rsidRPr="00282178" w:rsidR="008C0C93">
        <w:rPr>
          <w:lang w:val="en-GB"/>
        </w:rPr>
        <w:t>Fearing that the ill-treatment would continue, t</w:t>
      </w:r>
      <w:r w:rsidRPr="00282178">
        <w:rPr>
          <w:lang w:val="en-GB"/>
        </w:rPr>
        <w:t xml:space="preserve">he applicant signed a </w:t>
      </w:r>
      <w:r w:rsidRPr="00282178" w:rsidR="004C67BA">
        <w:rPr>
          <w:lang w:val="en-GB"/>
        </w:rPr>
        <w:t xml:space="preserve">self-incriminating </w:t>
      </w:r>
      <w:r w:rsidRPr="00282178">
        <w:rPr>
          <w:lang w:val="en-GB"/>
        </w:rPr>
        <w:t>statement</w:t>
      </w:r>
      <w:r w:rsidRPr="00282178" w:rsidR="00B06546">
        <w:rPr>
          <w:lang w:val="en-GB"/>
        </w:rPr>
        <w:t xml:space="preserve"> at the request of </w:t>
      </w:r>
      <w:r w:rsidRPr="00282178" w:rsidR="008C0C93">
        <w:rPr>
          <w:lang w:val="en-GB"/>
        </w:rPr>
        <w:t>the police officers</w:t>
      </w:r>
      <w:r w:rsidRPr="00282178">
        <w:rPr>
          <w:lang w:val="en-GB"/>
        </w:rPr>
        <w:t xml:space="preserve">. </w:t>
      </w:r>
      <w:r w:rsidRPr="00282178" w:rsidR="00750607">
        <w:rPr>
          <w:lang w:val="en-GB"/>
        </w:rPr>
        <w:t>H</w:t>
      </w:r>
      <w:r w:rsidRPr="00282178">
        <w:rPr>
          <w:lang w:val="en-GB"/>
        </w:rPr>
        <w:t xml:space="preserve">e was </w:t>
      </w:r>
      <w:r w:rsidRPr="00282178" w:rsidR="00750607">
        <w:rPr>
          <w:lang w:val="en-GB"/>
        </w:rPr>
        <w:t xml:space="preserve">then </w:t>
      </w:r>
      <w:r w:rsidRPr="00282178">
        <w:rPr>
          <w:lang w:val="en-GB"/>
        </w:rPr>
        <w:t xml:space="preserve">taken to </w:t>
      </w:r>
      <w:r w:rsidRPr="00282178" w:rsidR="00506453">
        <w:rPr>
          <w:lang w:val="en-GB"/>
        </w:rPr>
        <w:t xml:space="preserve">see S., </w:t>
      </w:r>
      <w:r w:rsidRPr="00282178" w:rsidR="008C0C93">
        <w:rPr>
          <w:lang w:val="en-GB"/>
        </w:rPr>
        <w:t xml:space="preserve">an investigator </w:t>
      </w:r>
      <w:r w:rsidRPr="00282178" w:rsidR="00506453">
        <w:rPr>
          <w:lang w:val="en-GB"/>
        </w:rPr>
        <w:t xml:space="preserve">at </w:t>
      </w:r>
      <w:r w:rsidRPr="00282178" w:rsidR="008C0C93">
        <w:rPr>
          <w:lang w:val="en-GB"/>
        </w:rPr>
        <w:t xml:space="preserve">the </w:t>
      </w:r>
      <w:r w:rsidRPr="00282178">
        <w:rPr>
          <w:lang w:val="en-GB"/>
        </w:rPr>
        <w:t>prosecutor</w:t>
      </w:r>
      <w:r w:rsidRPr="00282178" w:rsidR="00282178">
        <w:rPr>
          <w:lang w:val="en-GB"/>
        </w:rPr>
        <w:t>’</w:t>
      </w:r>
      <w:r w:rsidRPr="00282178" w:rsidR="008C0C93">
        <w:rPr>
          <w:lang w:val="en-GB"/>
        </w:rPr>
        <w:t>s office</w:t>
      </w:r>
      <w:r w:rsidRPr="00282178" w:rsidR="00506453">
        <w:rPr>
          <w:lang w:val="en-GB"/>
        </w:rPr>
        <w:t>.</w:t>
      </w:r>
      <w:r w:rsidRPr="00282178">
        <w:rPr>
          <w:lang w:val="en-GB"/>
        </w:rPr>
        <w:t xml:space="preserve"> </w:t>
      </w:r>
      <w:r w:rsidRPr="00282178" w:rsidR="002E43DF">
        <w:rPr>
          <w:lang w:val="en-GB"/>
        </w:rPr>
        <w:t xml:space="preserve">After </w:t>
      </w:r>
      <w:r w:rsidRPr="00282178" w:rsidR="005D6B44">
        <w:rPr>
          <w:lang w:val="en-GB"/>
        </w:rPr>
        <w:t xml:space="preserve">being </w:t>
      </w:r>
      <w:r w:rsidRPr="00282178" w:rsidR="002E43DF">
        <w:rPr>
          <w:lang w:val="en-GB"/>
        </w:rPr>
        <w:t>question</w:t>
      </w:r>
      <w:r w:rsidRPr="00282178" w:rsidR="005D6B44">
        <w:rPr>
          <w:lang w:val="en-GB"/>
        </w:rPr>
        <w:t>ed</w:t>
      </w:r>
      <w:r w:rsidRPr="00282178" w:rsidR="002E43DF">
        <w:rPr>
          <w:lang w:val="en-GB"/>
        </w:rPr>
        <w:t xml:space="preserve"> by S. </w:t>
      </w:r>
      <w:r w:rsidRPr="00282178" w:rsidR="005D6B44">
        <w:rPr>
          <w:lang w:val="en-GB"/>
        </w:rPr>
        <w:t>he</w:t>
      </w:r>
      <w:r w:rsidRPr="00282178" w:rsidR="002E43DF">
        <w:rPr>
          <w:lang w:val="en-GB"/>
        </w:rPr>
        <w:t xml:space="preserve"> was released</w:t>
      </w:r>
      <w:r w:rsidRPr="00282178">
        <w:rPr>
          <w:lang w:val="en-GB"/>
        </w:rPr>
        <w:t>.</w:t>
      </w:r>
      <w:r w:rsidRPr="00282178" w:rsidR="002E43DF">
        <w:rPr>
          <w:lang w:val="en-GB"/>
        </w:rPr>
        <w:t xml:space="preserve"> He </w:t>
      </w:r>
      <w:r w:rsidRPr="00282178" w:rsidR="00506453">
        <w:rPr>
          <w:lang w:val="en-GB"/>
        </w:rPr>
        <w:t>remained</w:t>
      </w:r>
      <w:r w:rsidRPr="00282178" w:rsidR="002E43DF">
        <w:rPr>
          <w:lang w:val="en-GB"/>
        </w:rPr>
        <w:t xml:space="preserve"> at the police station </w:t>
      </w:r>
      <w:r w:rsidRPr="00282178" w:rsidR="00993AA0">
        <w:rPr>
          <w:lang w:val="en-GB"/>
        </w:rPr>
        <w:t>for</w:t>
      </w:r>
      <w:r w:rsidRPr="00282178" w:rsidR="002E43DF">
        <w:rPr>
          <w:lang w:val="en-GB"/>
        </w:rPr>
        <w:t xml:space="preserve"> </w:t>
      </w:r>
      <w:r w:rsidRPr="00282178" w:rsidR="00B06546">
        <w:rPr>
          <w:lang w:val="en-GB"/>
        </w:rPr>
        <w:t>approximately</w:t>
      </w:r>
      <w:r w:rsidRPr="00282178" w:rsidR="002E43DF">
        <w:rPr>
          <w:lang w:val="en-GB"/>
        </w:rPr>
        <w:t xml:space="preserve"> ten hours. No documents concerning his detention were issued.</w:t>
      </w:r>
    </w:p>
    <w:p w:rsidRPr="00282178" w:rsidR="008A4D9F" w:rsidP="00282178" w:rsidRDefault="00B06546">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11</w:t>
      </w:r>
      <w:r w:rsidRPr="00282178">
        <w:rPr>
          <w:lang w:val="en-GB"/>
        </w:rPr>
        <w:fldChar w:fldCharType="end"/>
      </w:r>
      <w:r w:rsidRPr="00282178">
        <w:rPr>
          <w:lang w:val="en-GB"/>
        </w:rPr>
        <w:t>.  </w:t>
      </w:r>
      <w:r w:rsidRPr="00282178" w:rsidR="000500D3">
        <w:rPr>
          <w:lang w:val="en-GB"/>
        </w:rPr>
        <w:t>On 25 and 26 May 2004 t</w:t>
      </w:r>
      <w:r w:rsidRPr="00282178" w:rsidR="00511691">
        <w:rPr>
          <w:lang w:val="en-GB"/>
        </w:rPr>
        <w:t xml:space="preserve">he applicant underwent </w:t>
      </w:r>
      <w:r w:rsidRPr="00282178" w:rsidR="00506453">
        <w:rPr>
          <w:lang w:val="en-GB"/>
        </w:rPr>
        <w:t xml:space="preserve">various </w:t>
      </w:r>
      <w:r w:rsidRPr="00282178" w:rsidR="00511691">
        <w:rPr>
          <w:lang w:val="en-GB"/>
        </w:rPr>
        <w:t>medical examinations, including</w:t>
      </w:r>
      <w:r w:rsidRPr="00282178" w:rsidR="007B4898">
        <w:rPr>
          <w:lang w:val="en-GB"/>
        </w:rPr>
        <w:t xml:space="preserve"> </w:t>
      </w:r>
      <w:r w:rsidRPr="00282178" w:rsidR="00511691">
        <w:rPr>
          <w:lang w:val="en-GB"/>
        </w:rPr>
        <w:t xml:space="preserve">by a forensic medical expert. Additional opinions </w:t>
      </w:r>
      <w:r w:rsidRPr="00282178" w:rsidR="000500D3">
        <w:rPr>
          <w:lang w:val="en-GB"/>
        </w:rPr>
        <w:t xml:space="preserve">by </w:t>
      </w:r>
      <w:r w:rsidRPr="00282178" w:rsidR="00511691">
        <w:rPr>
          <w:lang w:val="en-GB"/>
        </w:rPr>
        <w:t xml:space="preserve">forensic medical experts were </w:t>
      </w:r>
      <w:r w:rsidRPr="00282178" w:rsidR="00DA0144">
        <w:rPr>
          <w:lang w:val="en-GB"/>
        </w:rPr>
        <w:t xml:space="preserve">given </w:t>
      </w:r>
      <w:r w:rsidRPr="00282178" w:rsidR="00511691">
        <w:rPr>
          <w:lang w:val="en-GB"/>
        </w:rPr>
        <w:t xml:space="preserve">later. </w:t>
      </w:r>
      <w:r w:rsidRPr="00282178" w:rsidR="008A4D9F">
        <w:rPr>
          <w:lang w:val="en-GB"/>
        </w:rPr>
        <w:t>According to t</w:t>
      </w:r>
      <w:r w:rsidRPr="00282178" w:rsidR="00C5720E">
        <w:rPr>
          <w:lang w:val="en-GB"/>
        </w:rPr>
        <w:t>he applicant</w:t>
      </w:r>
      <w:r w:rsidRPr="00282178" w:rsidR="00282178">
        <w:rPr>
          <w:lang w:val="en-GB"/>
        </w:rPr>
        <w:t>’</w:t>
      </w:r>
      <w:r w:rsidRPr="00282178" w:rsidR="008A4D9F">
        <w:rPr>
          <w:lang w:val="en-GB"/>
        </w:rPr>
        <w:t>s medical records,</w:t>
      </w:r>
      <w:r w:rsidRPr="00282178" w:rsidR="00C5720E">
        <w:rPr>
          <w:lang w:val="en-GB"/>
        </w:rPr>
        <w:t xml:space="preserve"> </w:t>
      </w:r>
      <w:r w:rsidRPr="00282178" w:rsidR="008A4D9F">
        <w:rPr>
          <w:lang w:val="en-GB"/>
        </w:rPr>
        <w:t xml:space="preserve">he </w:t>
      </w:r>
      <w:r w:rsidRPr="00282178" w:rsidR="00C5720E">
        <w:rPr>
          <w:lang w:val="en-GB"/>
        </w:rPr>
        <w:t xml:space="preserve">sustained the following injuries: </w:t>
      </w:r>
      <w:r w:rsidRPr="00282178" w:rsidR="007B4898">
        <w:rPr>
          <w:lang w:val="en-GB"/>
        </w:rPr>
        <w:t xml:space="preserve">a </w:t>
      </w:r>
      <w:r w:rsidRPr="00282178" w:rsidR="003C212C">
        <w:rPr>
          <w:lang w:val="en-GB"/>
        </w:rPr>
        <w:t xml:space="preserve">closed </w:t>
      </w:r>
      <w:r w:rsidRPr="00282178" w:rsidR="007B4898">
        <w:rPr>
          <w:lang w:val="en-GB"/>
        </w:rPr>
        <w:t xml:space="preserve">head </w:t>
      </w:r>
      <w:r w:rsidRPr="00282178" w:rsidR="003C212C">
        <w:rPr>
          <w:lang w:val="en-GB"/>
        </w:rPr>
        <w:t xml:space="preserve">injury, </w:t>
      </w:r>
      <w:r w:rsidRPr="00282178" w:rsidR="00C5720E">
        <w:rPr>
          <w:lang w:val="en-GB"/>
        </w:rPr>
        <w:t xml:space="preserve">concussion, abrasions </w:t>
      </w:r>
      <w:r w:rsidRPr="00282178" w:rsidR="003C212C">
        <w:rPr>
          <w:lang w:val="en-GB"/>
        </w:rPr>
        <w:t xml:space="preserve">on and </w:t>
      </w:r>
      <w:r w:rsidRPr="00282178" w:rsidR="00C5720E">
        <w:rPr>
          <w:lang w:val="en-GB"/>
        </w:rPr>
        <w:t>behind the ears</w:t>
      </w:r>
      <w:r w:rsidRPr="00282178" w:rsidR="000500D3">
        <w:rPr>
          <w:lang w:val="en-GB"/>
        </w:rPr>
        <w:t xml:space="preserve"> and</w:t>
      </w:r>
      <w:r w:rsidRPr="00282178" w:rsidR="003C212C">
        <w:rPr>
          <w:lang w:val="en-GB"/>
        </w:rPr>
        <w:t xml:space="preserve"> on </w:t>
      </w:r>
      <w:r w:rsidRPr="00282178" w:rsidR="000500D3">
        <w:rPr>
          <w:lang w:val="en-GB"/>
        </w:rPr>
        <w:t xml:space="preserve">the </w:t>
      </w:r>
      <w:r w:rsidRPr="00282178" w:rsidR="003C212C">
        <w:rPr>
          <w:lang w:val="en-GB"/>
        </w:rPr>
        <w:t xml:space="preserve">arms and knees, </w:t>
      </w:r>
      <w:r w:rsidRPr="00282178" w:rsidR="007B4898">
        <w:rPr>
          <w:lang w:val="en-GB"/>
        </w:rPr>
        <w:t>bruising on</w:t>
      </w:r>
      <w:r w:rsidRPr="00282178" w:rsidR="00C5720E">
        <w:rPr>
          <w:lang w:val="en-GB"/>
        </w:rPr>
        <w:t xml:space="preserve"> </w:t>
      </w:r>
      <w:r w:rsidRPr="00282178" w:rsidR="008A4D9F">
        <w:rPr>
          <w:lang w:val="en-GB"/>
        </w:rPr>
        <w:t xml:space="preserve">the right shoulder </w:t>
      </w:r>
      <w:r w:rsidRPr="00282178" w:rsidR="003C212C">
        <w:rPr>
          <w:lang w:val="en-GB"/>
        </w:rPr>
        <w:t xml:space="preserve">and </w:t>
      </w:r>
      <w:r w:rsidRPr="00282178" w:rsidR="007B4898">
        <w:rPr>
          <w:lang w:val="en-GB"/>
        </w:rPr>
        <w:t>rib</w:t>
      </w:r>
      <w:r w:rsidRPr="00282178" w:rsidR="003C212C">
        <w:rPr>
          <w:lang w:val="en-GB"/>
        </w:rPr>
        <w:t xml:space="preserve">cage </w:t>
      </w:r>
      <w:r w:rsidRPr="00282178" w:rsidR="00511691">
        <w:rPr>
          <w:lang w:val="en-GB"/>
        </w:rPr>
        <w:t xml:space="preserve">and </w:t>
      </w:r>
      <w:r w:rsidRPr="00282178" w:rsidR="003C212C">
        <w:rPr>
          <w:lang w:val="en-GB"/>
        </w:rPr>
        <w:t xml:space="preserve">bruises on the </w:t>
      </w:r>
      <w:r w:rsidRPr="00282178" w:rsidR="00511691">
        <w:rPr>
          <w:lang w:val="en-GB"/>
        </w:rPr>
        <w:t xml:space="preserve">buttocks. </w:t>
      </w:r>
      <w:r w:rsidRPr="00282178" w:rsidR="007B4898">
        <w:rPr>
          <w:lang w:val="en-GB"/>
        </w:rPr>
        <w:t>He</w:t>
      </w:r>
      <w:r w:rsidRPr="00282178" w:rsidR="008A4D9F">
        <w:rPr>
          <w:lang w:val="en-GB"/>
        </w:rPr>
        <w:t xml:space="preserve"> was unable to attend school until 15 June 2004</w:t>
      </w:r>
      <w:r w:rsidRPr="00282178" w:rsidR="009A35BC">
        <w:rPr>
          <w:lang w:val="en-GB"/>
        </w:rPr>
        <w:t xml:space="preserve">, having been issued a </w:t>
      </w:r>
      <w:r w:rsidRPr="00282178" w:rsidR="00FC24E0">
        <w:rPr>
          <w:lang w:val="en-GB"/>
        </w:rPr>
        <w:t>sick note</w:t>
      </w:r>
      <w:r w:rsidRPr="00282178" w:rsidR="008A4D9F">
        <w:rPr>
          <w:lang w:val="en-GB"/>
        </w:rPr>
        <w:t xml:space="preserve"> </w:t>
      </w:r>
      <w:r w:rsidRPr="00282178" w:rsidR="009A35BC">
        <w:rPr>
          <w:lang w:val="en-GB"/>
        </w:rPr>
        <w:t>on 26 May 2004 for</w:t>
      </w:r>
      <w:r w:rsidRPr="00282178" w:rsidR="00511691">
        <w:rPr>
          <w:lang w:val="en-GB"/>
        </w:rPr>
        <w:t xml:space="preserve"> concussion.</w:t>
      </w:r>
    </w:p>
    <w:p w:rsidRPr="00282178" w:rsidR="00863DCD" w:rsidP="00282178" w:rsidRDefault="00993AA0">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12</w:t>
      </w:r>
      <w:r w:rsidRPr="00282178">
        <w:rPr>
          <w:lang w:val="en-GB"/>
        </w:rPr>
        <w:fldChar w:fldCharType="end"/>
      </w:r>
      <w:r w:rsidRPr="00282178">
        <w:rPr>
          <w:lang w:val="en-GB"/>
        </w:rPr>
        <w:t>.  </w:t>
      </w:r>
      <w:r w:rsidRPr="00282178" w:rsidR="002E43DF">
        <w:rPr>
          <w:lang w:val="en-GB"/>
        </w:rPr>
        <w:t>T</w:t>
      </w:r>
      <w:r w:rsidRPr="00282178" w:rsidR="00863DCD">
        <w:rPr>
          <w:lang w:val="en-GB"/>
        </w:rPr>
        <w:t xml:space="preserve">he </w:t>
      </w:r>
      <w:r w:rsidRPr="00282178" w:rsidR="00511691">
        <w:rPr>
          <w:lang w:val="en-GB"/>
        </w:rPr>
        <w:t xml:space="preserve">rape </w:t>
      </w:r>
      <w:r w:rsidRPr="00282178" w:rsidR="00863DCD">
        <w:rPr>
          <w:lang w:val="en-GB"/>
        </w:rPr>
        <w:t xml:space="preserve">victim gave a statement </w:t>
      </w:r>
      <w:r w:rsidRPr="00282178" w:rsidR="007B4898">
        <w:rPr>
          <w:lang w:val="en-GB"/>
        </w:rPr>
        <w:t xml:space="preserve">saying </w:t>
      </w:r>
      <w:r w:rsidRPr="00282178" w:rsidR="00863DCD">
        <w:rPr>
          <w:lang w:val="en-GB"/>
        </w:rPr>
        <w:t>that the applicant was not the person who had raped her.</w:t>
      </w:r>
      <w:r w:rsidRPr="00282178" w:rsidR="002E43DF">
        <w:rPr>
          <w:lang w:val="en-GB"/>
        </w:rPr>
        <w:t xml:space="preserve"> No criminal proceedings were brought against </w:t>
      </w:r>
      <w:r w:rsidRPr="00282178" w:rsidR="007B4898">
        <w:rPr>
          <w:lang w:val="en-GB"/>
        </w:rPr>
        <w:t>him</w:t>
      </w:r>
      <w:r w:rsidRPr="00282178" w:rsidR="002E43DF">
        <w:rPr>
          <w:lang w:val="en-GB"/>
        </w:rPr>
        <w:t>.</w:t>
      </w:r>
    </w:p>
    <w:p w:rsidRPr="00282178" w:rsidR="00863DCD" w:rsidP="00282178" w:rsidRDefault="00CC68DD">
      <w:pPr>
        <w:pStyle w:val="ECHRHeading2"/>
        <w:rPr>
          <w:lang w:val="en-GB"/>
        </w:rPr>
      </w:pPr>
      <w:r w:rsidRPr="00282178">
        <w:rPr>
          <w:lang w:val="en-GB"/>
        </w:rPr>
        <w:t>B.  </w:t>
      </w:r>
      <w:r w:rsidRPr="00282178" w:rsidR="00863DCD">
        <w:rPr>
          <w:lang w:val="en-GB"/>
        </w:rPr>
        <w:t>The authorities</w:t>
      </w:r>
      <w:r w:rsidRPr="00282178" w:rsidR="00282178">
        <w:rPr>
          <w:lang w:val="en-GB"/>
        </w:rPr>
        <w:t>’</w:t>
      </w:r>
      <w:r w:rsidRPr="00282178" w:rsidR="00863DCD">
        <w:rPr>
          <w:lang w:val="en-GB"/>
        </w:rPr>
        <w:t xml:space="preserve"> </w:t>
      </w:r>
      <w:r w:rsidRPr="00282178" w:rsidR="002B6111">
        <w:rPr>
          <w:lang w:val="en-GB"/>
        </w:rPr>
        <w:t xml:space="preserve">investigation into </w:t>
      </w:r>
      <w:r w:rsidRPr="00282178" w:rsidR="00863DCD">
        <w:rPr>
          <w:lang w:val="en-GB"/>
        </w:rPr>
        <w:t>the applicant</w:t>
      </w:r>
      <w:r w:rsidRPr="00282178" w:rsidR="00282178">
        <w:rPr>
          <w:lang w:val="en-GB"/>
        </w:rPr>
        <w:t>’</w:t>
      </w:r>
      <w:r w:rsidRPr="00282178" w:rsidR="00863DCD">
        <w:rPr>
          <w:lang w:val="en-GB"/>
        </w:rPr>
        <w:t xml:space="preserve">s </w:t>
      </w:r>
      <w:r w:rsidRPr="00282178" w:rsidR="002B6111">
        <w:rPr>
          <w:lang w:val="en-GB"/>
        </w:rPr>
        <w:t>allegations of ill-treatment</w:t>
      </w:r>
    </w:p>
    <w:p w:rsidRPr="00282178" w:rsidR="00863DC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13</w:t>
      </w:r>
      <w:r w:rsidRPr="00282178">
        <w:rPr>
          <w:lang w:val="en-GB"/>
        </w:rPr>
        <w:fldChar w:fldCharType="end"/>
      </w:r>
      <w:r w:rsidRPr="00282178" w:rsidR="00863DCD">
        <w:rPr>
          <w:lang w:val="en-GB"/>
        </w:rPr>
        <w:t>.  On 26 May 2004 the applicant</w:t>
      </w:r>
      <w:r w:rsidRPr="00282178" w:rsidR="00282178">
        <w:rPr>
          <w:lang w:val="en-GB"/>
        </w:rPr>
        <w:t>’</w:t>
      </w:r>
      <w:r w:rsidRPr="00282178" w:rsidR="00863DCD">
        <w:rPr>
          <w:lang w:val="en-GB"/>
        </w:rPr>
        <w:t xml:space="preserve">s mother </w:t>
      </w:r>
      <w:r w:rsidRPr="00282178" w:rsidR="00D85432">
        <w:rPr>
          <w:lang w:val="en-GB"/>
        </w:rPr>
        <w:t xml:space="preserve">lodged </w:t>
      </w:r>
      <w:r w:rsidRPr="00282178" w:rsidR="00FC52C6">
        <w:rPr>
          <w:lang w:val="en-GB"/>
        </w:rPr>
        <w:t>a complaint with</w:t>
      </w:r>
      <w:r w:rsidRPr="00282178" w:rsidR="005D6B44">
        <w:rPr>
          <w:lang w:val="en-GB"/>
        </w:rPr>
        <w:t xml:space="preserve"> </w:t>
      </w:r>
      <w:r w:rsidRPr="00282178" w:rsidR="00863DCD">
        <w:rPr>
          <w:lang w:val="en-GB"/>
        </w:rPr>
        <w:t>the Sovetskiy district police</w:t>
      </w:r>
      <w:r w:rsidRPr="00282178" w:rsidR="00965F56">
        <w:rPr>
          <w:lang w:val="en-GB"/>
        </w:rPr>
        <w:t>,</w:t>
      </w:r>
      <w:r w:rsidRPr="00282178" w:rsidR="00D85432">
        <w:rPr>
          <w:lang w:val="en-GB"/>
        </w:rPr>
        <w:t xml:space="preserve"> </w:t>
      </w:r>
      <w:r w:rsidRPr="00282178" w:rsidR="00EF0E24">
        <w:rPr>
          <w:lang w:val="en-GB"/>
        </w:rPr>
        <w:t xml:space="preserve">alleging that the police officers had subjected her son to ill-treatment in order to make him confess to a crime which he had never committed, and </w:t>
      </w:r>
      <w:r w:rsidRPr="00282178" w:rsidR="00965F56">
        <w:rPr>
          <w:lang w:val="en-GB"/>
        </w:rPr>
        <w:t xml:space="preserve">requesting </w:t>
      </w:r>
      <w:r w:rsidRPr="00282178" w:rsidR="007B4898">
        <w:rPr>
          <w:lang w:val="en-GB"/>
        </w:rPr>
        <w:t>that the</w:t>
      </w:r>
      <w:r w:rsidRPr="00282178" w:rsidR="00EF0E24">
        <w:rPr>
          <w:lang w:val="en-GB"/>
        </w:rPr>
        <w:t>y</w:t>
      </w:r>
      <w:r w:rsidRPr="00282178" w:rsidR="00D85432">
        <w:rPr>
          <w:lang w:val="en-GB"/>
        </w:rPr>
        <w:t xml:space="preserve"> </w:t>
      </w:r>
      <w:r w:rsidRPr="00282178" w:rsidR="007B4898">
        <w:rPr>
          <w:lang w:val="en-GB"/>
        </w:rPr>
        <w:t>be prosecuted</w:t>
      </w:r>
      <w:r w:rsidRPr="00282178" w:rsidR="00863DCD">
        <w:rPr>
          <w:lang w:val="en-GB"/>
        </w:rPr>
        <w:t>.</w:t>
      </w:r>
      <w:r w:rsidRPr="00282178" w:rsidR="00965F56">
        <w:rPr>
          <w:lang w:val="en-GB"/>
        </w:rPr>
        <w:t> On 28 </w:t>
      </w:r>
      <w:r w:rsidRPr="00282178" w:rsidR="00863DCD">
        <w:rPr>
          <w:lang w:val="en-GB"/>
        </w:rPr>
        <w:t xml:space="preserve">May 2004 her </w:t>
      </w:r>
      <w:r w:rsidRPr="00282178" w:rsidR="005D6B44">
        <w:rPr>
          <w:lang w:val="en-GB"/>
        </w:rPr>
        <w:t>complaint</w:t>
      </w:r>
      <w:r w:rsidRPr="00282178" w:rsidR="00965F56">
        <w:rPr>
          <w:lang w:val="en-GB"/>
        </w:rPr>
        <w:t xml:space="preserve"> </w:t>
      </w:r>
      <w:r w:rsidRPr="00282178" w:rsidR="00863DCD">
        <w:rPr>
          <w:lang w:val="en-GB"/>
        </w:rPr>
        <w:t>was transferred to the Sovetskiy district prosecutor</w:t>
      </w:r>
      <w:r w:rsidRPr="00282178" w:rsidR="00282178">
        <w:rPr>
          <w:lang w:val="en-GB"/>
        </w:rPr>
        <w:t>’</w:t>
      </w:r>
      <w:r w:rsidRPr="00282178" w:rsidR="00863DCD">
        <w:rPr>
          <w:lang w:val="en-GB"/>
        </w:rPr>
        <w:t>s office.</w:t>
      </w:r>
    </w:p>
    <w:p w:rsidRPr="00282178" w:rsidR="00863DC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14</w:t>
      </w:r>
      <w:r w:rsidRPr="00282178">
        <w:rPr>
          <w:lang w:val="en-GB"/>
        </w:rPr>
        <w:fldChar w:fldCharType="end"/>
      </w:r>
      <w:r w:rsidRPr="00282178" w:rsidR="00965F56">
        <w:rPr>
          <w:lang w:val="en-GB"/>
        </w:rPr>
        <w:t>.  </w:t>
      </w:r>
      <w:r w:rsidRPr="00282178" w:rsidR="00EA1207">
        <w:rPr>
          <w:lang w:val="en-GB"/>
        </w:rPr>
        <w:t xml:space="preserve">In accordance with </w:t>
      </w:r>
      <w:r w:rsidRPr="00282178" w:rsidR="00641DF8">
        <w:rPr>
          <w:color w:val="000000"/>
          <w:lang w:val="en-GB"/>
        </w:rPr>
        <w:t xml:space="preserve">Article 24 § 1 (2) of the </w:t>
      </w:r>
      <w:r w:rsidRPr="00282178" w:rsidR="001265A3">
        <w:rPr>
          <w:color w:val="000000"/>
          <w:lang w:val="en-GB"/>
        </w:rPr>
        <w:t>Code of Criminal Procedure (“</w:t>
      </w:r>
      <w:r w:rsidRPr="00282178" w:rsidR="00641DF8">
        <w:rPr>
          <w:color w:val="000000"/>
          <w:lang w:val="en-GB"/>
        </w:rPr>
        <w:t>CCrP</w:t>
      </w:r>
      <w:r w:rsidRPr="00282178" w:rsidR="001265A3">
        <w:rPr>
          <w:color w:val="000000"/>
          <w:lang w:val="en-GB"/>
        </w:rPr>
        <w:t>”)</w:t>
      </w:r>
      <w:r w:rsidRPr="00282178" w:rsidR="00641DF8">
        <w:rPr>
          <w:color w:val="000000"/>
          <w:lang w:val="en-GB"/>
        </w:rPr>
        <w:t>,</w:t>
      </w:r>
      <w:r w:rsidRPr="00282178" w:rsidDel="009A5AB9" w:rsidR="00641DF8">
        <w:rPr>
          <w:lang w:val="en-GB"/>
        </w:rPr>
        <w:t xml:space="preserve"> </w:t>
      </w:r>
      <w:r w:rsidRPr="00282178" w:rsidR="00965F56">
        <w:rPr>
          <w:lang w:val="en-GB"/>
        </w:rPr>
        <w:t>six refusals to institute criminal proceedings</w:t>
      </w:r>
      <w:r w:rsidRPr="00282178" w:rsidR="00EA1207">
        <w:rPr>
          <w:lang w:val="en-GB"/>
        </w:rPr>
        <w:t xml:space="preserve"> against the police officers were issued</w:t>
      </w:r>
      <w:r w:rsidRPr="00282178" w:rsidR="00965F56">
        <w:rPr>
          <w:lang w:val="en-GB"/>
        </w:rPr>
        <w:t xml:space="preserve"> </w:t>
      </w:r>
      <w:r w:rsidRPr="00282178" w:rsidR="00D8543A">
        <w:rPr>
          <w:lang w:val="en-GB"/>
        </w:rPr>
        <w:t>on the grounds that</w:t>
      </w:r>
      <w:r w:rsidRPr="00282178" w:rsidR="00EA1207">
        <w:rPr>
          <w:lang w:val="en-GB"/>
        </w:rPr>
        <w:t xml:space="preserve"> </w:t>
      </w:r>
      <w:r w:rsidRPr="00282178" w:rsidR="002C2DF7">
        <w:rPr>
          <w:lang w:val="en-GB"/>
        </w:rPr>
        <w:t xml:space="preserve">the </w:t>
      </w:r>
      <w:r w:rsidRPr="00282178" w:rsidR="00D8543A">
        <w:rPr>
          <w:lang w:val="en-GB"/>
        </w:rPr>
        <w:t xml:space="preserve">constituent </w:t>
      </w:r>
      <w:r w:rsidRPr="00282178" w:rsidR="002C2DF7">
        <w:rPr>
          <w:lang w:val="en-GB"/>
        </w:rPr>
        <w:t xml:space="preserve">elements of a crime </w:t>
      </w:r>
      <w:r w:rsidRPr="00282178" w:rsidR="00D8543A">
        <w:rPr>
          <w:lang w:val="en-GB"/>
        </w:rPr>
        <w:t>were missing</w:t>
      </w:r>
      <w:r w:rsidRPr="00282178" w:rsidR="00EA1207">
        <w:rPr>
          <w:lang w:val="en-GB"/>
        </w:rPr>
        <w:t>.</w:t>
      </w:r>
      <w:r w:rsidRPr="00282178" w:rsidR="00965F56">
        <w:rPr>
          <w:lang w:val="en-GB"/>
        </w:rPr>
        <w:t xml:space="preserve"> </w:t>
      </w:r>
      <w:r w:rsidRPr="00282178" w:rsidR="00FC52C6">
        <w:rPr>
          <w:lang w:val="en-GB"/>
        </w:rPr>
        <w:t xml:space="preserve">They </w:t>
      </w:r>
      <w:r w:rsidRPr="00282178" w:rsidR="00965F56">
        <w:rPr>
          <w:lang w:val="en-GB"/>
        </w:rPr>
        <w:t xml:space="preserve">were each set aside </w:t>
      </w:r>
      <w:r w:rsidRPr="00282178" w:rsidR="00EA1207">
        <w:rPr>
          <w:lang w:val="en-GB"/>
        </w:rPr>
        <w:t xml:space="preserve">because </w:t>
      </w:r>
      <w:r w:rsidRPr="00282178" w:rsidR="00965F56">
        <w:rPr>
          <w:lang w:val="en-GB"/>
        </w:rPr>
        <w:t>a comprehensive inquiry</w:t>
      </w:r>
      <w:r w:rsidRPr="00282178" w:rsidR="006F5F6A">
        <w:rPr>
          <w:lang w:val="en-GB"/>
        </w:rPr>
        <w:t xml:space="preserve"> had not been carried out</w:t>
      </w:r>
      <w:r w:rsidRPr="00282178" w:rsidR="009A5AB9">
        <w:rPr>
          <w:lang w:val="en-GB"/>
        </w:rPr>
        <w:t xml:space="preserve">. </w:t>
      </w:r>
      <w:r w:rsidRPr="00282178" w:rsidR="007B4898">
        <w:rPr>
          <w:lang w:val="en-GB"/>
        </w:rPr>
        <w:t>O</w:t>
      </w:r>
      <w:r w:rsidRPr="00282178" w:rsidR="00863DCD">
        <w:rPr>
          <w:lang w:val="en-GB"/>
        </w:rPr>
        <w:t>n 20 February 2006 the Nizhniy Novgorod regional prosecutor</w:t>
      </w:r>
      <w:r w:rsidRPr="00282178" w:rsidR="00282178">
        <w:rPr>
          <w:lang w:val="en-GB"/>
        </w:rPr>
        <w:t>’</w:t>
      </w:r>
      <w:r w:rsidRPr="00282178" w:rsidR="00863DCD">
        <w:rPr>
          <w:lang w:val="en-GB"/>
        </w:rPr>
        <w:t>s office instituted criminal proceedings under Article 286 § 3 (a) of the Criminal Code (abuse of authority with the use of violence).</w:t>
      </w:r>
    </w:p>
    <w:p w:rsidRPr="00282178" w:rsidR="00863DC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15</w:t>
      </w:r>
      <w:r w:rsidRPr="00282178">
        <w:rPr>
          <w:lang w:val="en-GB"/>
        </w:rPr>
        <w:fldChar w:fldCharType="end"/>
      </w:r>
      <w:r w:rsidRPr="00282178" w:rsidR="00F314ED">
        <w:rPr>
          <w:lang w:val="en-GB"/>
        </w:rPr>
        <w:t>.  </w:t>
      </w:r>
      <w:r w:rsidRPr="00282178" w:rsidR="00863DCD">
        <w:rPr>
          <w:lang w:val="en-GB"/>
        </w:rPr>
        <w:t xml:space="preserve">On 28 February 2006 the applicant </w:t>
      </w:r>
      <w:r w:rsidRPr="00282178" w:rsidR="00DF5286">
        <w:rPr>
          <w:lang w:val="en-GB"/>
        </w:rPr>
        <w:t xml:space="preserve">was granted </w:t>
      </w:r>
      <w:r w:rsidRPr="00282178" w:rsidR="00863DCD">
        <w:rPr>
          <w:lang w:val="en-GB"/>
        </w:rPr>
        <w:t>victim status.</w:t>
      </w:r>
    </w:p>
    <w:p w:rsidRPr="00282178" w:rsidR="00751112"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16</w:t>
      </w:r>
      <w:r w:rsidRPr="00282178">
        <w:rPr>
          <w:lang w:val="en-GB"/>
        </w:rPr>
        <w:fldChar w:fldCharType="end"/>
      </w:r>
      <w:r w:rsidRPr="00282178" w:rsidR="00751112">
        <w:rPr>
          <w:lang w:val="en-GB"/>
        </w:rPr>
        <w:t>.  Police officers A. and G. gave statements</w:t>
      </w:r>
      <w:r w:rsidRPr="00282178" w:rsidR="007B4898">
        <w:rPr>
          <w:lang w:val="en-GB"/>
        </w:rPr>
        <w:t xml:space="preserve"> saying</w:t>
      </w:r>
      <w:r w:rsidRPr="00282178" w:rsidR="00751112">
        <w:rPr>
          <w:lang w:val="en-GB"/>
        </w:rPr>
        <w:t xml:space="preserve"> that on 24 May 2004 they had invited the applicant to </w:t>
      </w:r>
      <w:r w:rsidRPr="00282178" w:rsidR="006F5F6A">
        <w:rPr>
          <w:lang w:val="en-GB"/>
        </w:rPr>
        <w:t xml:space="preserve">accompany </w:t>
      </w:r>
      <w:r w:rsidRPr="00282178" w:rsidR="00751112">
        <w:rPr>
          <w:lang w:val="en-GB"/>
        </w:rPr>
        <w:t>them to the police station</w:t>
      </w:r>
      <w:r w:rsidRPr="00282178" w:rsidR="00D8543A">
        <w:rPr>
          <w:lang w:val="en-GB"/>
        </w:rPr>
        <w:t>. H</w:t>
      </w:r>
      <w:r w:rsidRPr="00282178" w:rsidR="006B0635">
        <w:rPr>
          <w:lang w:val="en-GB"/>
        </w:rPr>
        <w:t>e</w:t>
      </w:r>
      <w:r w:rsidRPr="00282178" w:rsidR="00751112">
        <w:rPr>
          <w:lang w:val="en-GB"/>
        </w:rPr>
        <w:t xml:space="preserve"> had remained in room no. 306 until evening and they had</w:t>
      </w:r>
      <w:r w:rsidRPr="00282178" w:rsidR="006B0635">
        <w:rPr>
          <w:lang w:val="en-GB"/>
        </w:rPr>
        <w:t xml:space="preserve"> </w:t>
      </w:r>
      <w:r w:rsidRPr="00282178" w:rsidR="00751112">
        <w:rPr>
          <w:lang w:val="en-GB"/>
        </w:rPr>
        <w:t xml:space="preserve">been present in </w:t>
      </w:r>
      <w:r w:rsidRPr="00282178" w:rsidR="00D8543A">
        <w:rPr>
          <w:lang w:val="en-GB"/>
        </w:rPr>
        <w:t xml:space="preserve">the </w:t>
      </w:r>
      <w:r w:rsidRPr="00282178" w:rsidR="00751112">
        <w:rPr>
          <w:lang w:val="en-GB"/>
        </w:rPr>
        <w:t xml:space="preserve">room, as </w:t>
      </w:r>
      <w:r w:rsidRPr="00282178" w:rsidR="006B0635">
        <w:rPr>
          <w:lang w:val="en-GB"/>
        </w:rPr>
        <w:t>had</w:t>
      </w:r>
      <w:r w:rsidRPr="00282178" w:rsidR="00751112">
        <w:rPr>
          <w:lang w:val="en-GB"/>
        </w:rPr>
        <w:t xml:space="preserve"> police officer F.</w:t>
      </w:r>
      <w:r w:rsidRPr="00282178" w:rsidR="006B0635">
        <w:rPr>
          <w:lang w:val="en-GB"/>
        </w:rPr>
        <w:t>,</w:t>
      </w:r>
      <w:r w:rsidRPr="00282178" w:rsidR="00751112">
        <w:rPr>
          <w:lang w:val="en-GB"/>
        </w:rPr>
        <w:t xml:space="preserve"> who had taken statements from </w:t>
      </w:r>
      <w:r w:rsidRPr="00282178" w:rsidR="006B0635">
        <w:rPr>
          <w:lang w:val="en-GB"/>
        </w:rPr>
        <w:t>him</w:t>
      </w:r>
      <w:r w:rsidRPr="00282178" w:rsidR="00751112">
        <w:rPr>
          <w:lang w:val="en-GB"/>
        </w:rPr>
        <w:t xml:space="preserve">. They denied </w:t>
      </w:r>
      <w:r w:rsidRPr="00282178" w:rsidR="006B0635">
        <w:rPr>
          <w:lang w:val="en-GB"/>
        </w:rPr>
        <w:t>any</w:t>
      </w:r>
      <w:r w:rsidRPr="00282178" w:rsidR="00751112">
        <w:rPr>
          <w:lang w:val="en-GB"/>
        </w:rPr>
        <w:t xml:space="preserve"> ill-treatment</w:t>
      </w:r>
      <w:r w:rsidRPr="00282178" w:rsidR="006F5F6A">
        <w:rPr>
          <w:lang w:val="en-GB"/>
        </w:rPr>
        <w:t xml:space="preserve"> of the applicant</w:t>
      </w:r>
      <w:r w:rsidRPr="00282178" w:rsidR="00751112">
        <w:rPr>
          <w:lang w:val="en-GB"/>
        </w:rPr>
        <w:t>.</w:t>
      </w:r>
    </w:p>
    <w:p w:rsidRPr="00282178" w:rsidR="00751112"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17</w:t>
      </w:r>
      <w:r w:rsidRPr="00282178">
        <w:rPr>
          <w:lang w:val="en-GB"/>
        </w:rPr>
        <w:fldChar w:fldCharType="end"/>
      </w:r>
      <w:r w:rsidRPr="00282178" w:rsidR="00751112">
        <w:rPr>
          <w:lang w:val="en-GB"/>
        </w:rPr>
        <w:t>.  </w:t>
      </w:r>
      <w:r w:rsidRPr="00282178" w:rsidR="006B0635">
        <w:rPr>
          <w:lang w:val="en-GB"/>
        </w:rPr>
        <w:t>On 11 May 2006 t</w:t>
      </w:r>
      <w:r w:rsidRPr="00282178" w:rsidR="00751112">
        <w:rPr>
          <w:lang w:val="en-GB"/>
        </w:rPr>
        <w:t xml:space="preserve">he applicant </w:t>
      </w:r>
      <w:r w:rsidRPr="00282178" w:rsidR="006B0635">
        <w:rPr>
          <w:lang w:val="en-GB"/>
        </w:rPr>
        <w:t>failed to</w:t>
      </w:r>
      <w:r w:rsidRPr="00282178" w:rsidR="00751112">
        <w:rPr>
          <w:lang w:val="en-GB"/>
        </w:rPr>
        <w:t xml:space="preserve"> identify A. and G. during an identification parade.</w:t>
      </w:r>
    </w:p>
    <w:p w:rsidRPr="00282178" w:rsidR="00863DC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18</w:t>
      </w:r>
      <w:r w:rsidRPr="00282178">
        <w:rPr>
          <w:lang w:val="en-GB"/>
        </w:rPr>
        <w:fldChar w:fldCharType="end"/>
      </w:r>
      <w:r w:rsidRPr="00282178" w:rsidR="00863DCD">
        <w:rPr>
          <w:lang w:val="en-GB"/>
        </w:rPr>
        <w:t xml:space="preserve">.  On 14 July 2006 </w:t>
      </w:r>
      <w:r w:rsidRPr="00282178" w:rsidR="00C16639">
        <w:rPr>
          <w:lang w:val="en-GB"/>
        </w:rPr>
        <w:t>he</w:t>
      </w:r>
      <w:r w:rsidRPr="00282178" w:rsidR="00863DCD">
        <w:rPr>
          <w:lang w:val="en-GB"/>
        </w:rPr>
        <w:t xml:space="preserve"> identified </w:t>
      </w:r>
      <w:r w:rsidRPr="00282178" w:rsidR="00F4055F">
        <w:rPr>
          <w:lang w:val="en-GB"/>
        </w:rPr>
        <w:t xml:space="preserve">operative </w:t>
      </w:r>
      <w:r w:rsidRPr="00282178" w:rsidR="00863DCD">
        <w:rPr>
          <w:lang w:val="en-GB"/>
        </w:rPr>
        <w:t xml:space="preserve">police officer F. </w:t>
      </w:r>
      <w:r w:rsidRPr="00282178" w:rsidR="00C16639">
        <w:rPr>
          <w:lang w:val="en-GB"/>
        </w:rPr>
        <w:t xml:space="preserve">from a photograph </w:t>
      </w:r>
      <w:r w:rsidRPr="00282178" w:rsidR="00863DCD">
        <w:rPr>
          <w:lang w:val="en-GB"/>
        </w:rPr>
        <w:t xml:space="preserve">as one of </w:t>
      </w:r>
      <w:r w:rsidRPr="00282178" w:rsidR="006F5F6A">
        <w:rPr>
          <w:lang w:val="en-GB"/>
        </w:rPr>
        <w:t xml:space="preserve">the men </w:t>
      </w:r>
      <w:r w:rsidRPr="00282178" w:rsidR="00863DCD">
        <w:rPr>
          <w:lang w:val="en-GB"/>
        </w:rPr>
        <w:t xml:space="preserve">who had ill-treated him. On the same </w:t>
      </w:r>
      <w:r w:rsidRPr="00282178" w:rsidR="00F314ED">
        <w:rPr>
          <w:lang w:val="en-GB"/>
        </w:rPr>
        <w:t>day</w:t>
      </w:r>
      <w:r w:rsidRPr="00282178" w:rsidR="00863DCD">
        <w:rPr>
          <w:lang w:val="en-GB"/>
        </w:rPr>
        <w:t xml:space="preserve"> the investigation was suspended on the grounds that </w:t>
      </w:r>
      <w:r w:rsidRPr="00282178" w:rsidR="00F314ED">
        <w:rPr>
          <w:lang w:val="en-GB"/>
        </w:rPr>
        <w:t xml:space="preserve">the perpetrator had not been </w:t>
      </w:r>
      <w:r w:rsidRPr="00282178" w:rsidR="00C16639">
        <w:rPr>
          <w:lang w:val="en-GB"/>
        </w:rPr>
        <w:t>identified</w:t>
      </w:r>
      <w:r w:rsidRPr="00282178" w:rsidR="00863DCD">
        <w:rPr>
          <w:lang w:val="en-GB"/>
        </w:rPr>
        <w:t>.</w:t>
      </w:r>
    </w:p>
    <w:p w:rsidRPr="00282178" w:rsidR="00863DC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19</w:t>
      </w:r>
      <w:r w:rsidRPr="00282178">
        <w:rPr>
          <w:lang w:val="en-GB"/>
        </w:rPr>
        <w:fldChar w:fldCharType="end"/>
      </w:r>
      <w:r w:rsidRPr="00282178" w:rsidR="00863DCD">
        <w:rPr>
          <w:lang w:val="en-GB"/>
        </w:rPr>
        <w:t xml:space="preserve">.  On 27 July 2006 </w:t>
      </w:r>
      <w:r w:rsidRPr="00282178" w:rsidR="005D7D56">
        <w:rPr>
          <w:lang w:val="en-GB"/>
        </w:rPr>
        <w:t xml:space="preserve">the investigation was resumed and </w:t>
      </w:r>
      <w:r w:rsidRPr="00282178" w:rsidR="00863DCD">
        <w:rPr>
          <w:lang w:val="en-GB"/>
        </w:rPr>
        <w:t>the applicant identified F. during an identification parade.</w:t>
      </w:r>
      <w:r w:rsidRPr="00282178" w:rsidR="00BF56C4">
        <w:rPr>
          <w:lang w:val="en-GB"/>
        </w:rPr>
        <w:t xml:space="preserve"> During his examination as a suspect F. confirmed that </w:t>
      </w:r>
      <w:r w:rsidRPr="00282178" w:rsidR="006F5F6A">
        <w:rPr>
          <w:lang w:val="en-GB"/>
        </w:rPr>
        <w:t xml:space="preserve">on 24 May 2004 </w:t>
      </w:r>
      <w:r w:rsidRPr="00282178" w:rsidR="00BF56C4">
        <w:rPr>
          <w:lang w:val="en-GB"/>
        </w:rPr>
        <w:t xml:space="preserve">he had taken statements from the applicant </w:t>
      </w:r>
      <w:r w:rsidRPr="00282178" w:rsidR="002725A6">
        <w:rPr>
          <w:lang w:val="en-GB"/>
        </w:rPr>
        <w:t>in room no. 306</w:t>
      </w:r>
      <w:r w:rsidRPr="00282178" w:rsidR="002B6111">
        <w:rPr>
          <w:lang w:val="en-GB"/>
        </w:rPr>
        <w:t>,</w:t>
      </w:r>
      <w:r w:rsidRPr="00282178" w:rsidR="002725A6">
        <w:rPr>
          <w:lang w:val="en-GB"/>
        </w:rPr>
        <w:t xml:space="preserve"> but</w:t>
      </w:r>
      <w:r w:rsidRPr="00282178" w:rsidR="00BF56C4">
        <w:rPr>
          <w:lang w:val="en-GB"/>
        </w:rPr>
        <w:t xml:space="preserve"> denied </w:t>
      </w:r>
      <w:r w:rsidRPr="00282178" w:rsidR="002725A6">
        <w:rPr>
          <w:lang w:val="en-GB"/>
        </w:rPr>
        <w:t>us</w:t>
      </w:r>
      <w:r w:rsidRPr="00282178" w:rsidR="00FC52C6">
        <w:rPr>
          <w:lang w:val="en-GB"/>
        </w:rPr>
        <w:t xml:space="preserve">ing any </w:t>
      </w:r>
      <w:r w:rsidRPr="00282178" w:rsidR="002725A6">
        <w:rPr>
          <w:lang w:val="en-GB"/>
        </w:rPr>
        <w:t>violence.</w:t>
      </w:r>
    </w:p>
    <w:p w:rsidRPr="00282178" w:rsidR="00A440A3"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20</w:t>
      </w:r>
      <w:r w:rsidRPr="00282178">
        <w:rPr>
          <w:lang w:val="en-GB"/>
        </w:rPr>
        <w:fldChar w:fldCharType="end"/>
      </w:r>
      <w:r w:rsidRPr="00282178" w:rsidR="00863DCD">
        <w:rPr>
          <w:lang w:val="en-GB"/>
        </w:rPr>
        <w:t xml:space="preserve">.  On 24 August 2006 a </w:t>
      </w:r>
      <w:r w:rsidRPr="00282178" w:rsidR="00F96604">
        <w:rPr>
          <w:lang w:val="en-GB"/>
        </w:rPr>
        <w:t xml:space="preserve">face-to-face </w:t>
      </w:r>
      <w:r w:rsidRPr="00282178" w:rsidR="00863DCD">
        <w:rPr>
          <w:lang w:val="en-GB"/>
        </w:rPr>
        <w:t xml:space="preserve">confrontation was carried out between the applicant and F. The applicant </w:t>
      </w:r>
      <w:r w:rsidRPr="00282178" w:rsidR="00F314ED">
        <w:rPr>
          <w:lang w:val="en-GB"/>
        </w:rPr>
        <w:t>stated</w:t>
      </w:r>
      <w:r w:rsidRPr="00282178" w:rsidR="00863DCD">
        <w:rPr>
          <w:lang w:val="en-GB"/>
        </w:rPr>
        <w:t xml:space="preserve"> that F. had taken part in his </w:t>
      </w:r>
      <w:r w:rsidRPr="00282178" w:rsidR="00F314ED">
        <w:rPr>
          <w:lang w:val="en-GB"/>
        </w:rPr>
        <w:t>ill</w:t>
      </w:r>
      <w:r w:rsidRPr="00282178" w:rsidR="00F314ED">
        <w:rPr>
          <w:lang w:val="en-GB"/>
        </w:rPr>
        <w:noBreakHyphen/>
        <w:t xml:space="preserve">treatment </w:t>
      </w:r>
      <w:r w:rsidRPr="00282178" w:rsidR="00863DCD">
        <w:rPr>
          <w:lang w:val="en-GB"/>
        </w:rPr>
        <w:t xml:space="preserve">and had </w:t>
      </w:r>
      <w:r w:rsidRPr="00282178" w:rsidR="00F27BEE">
        <w:rPr>
          <w:lang w:val="en-GB"/>
        </w:rPr>
        <w:t xml:space="preserve">taken </w:t>
      </w:r>
      <w:r w:rsidRPr="00282178" w:rsidR="00863DCD">
        <w:rPr>
          <w:lang w:val="en-GB"/>
        </w:rPr>
        <w:t xml:space="preserve">the confession </w:t>
      </w:r>
      <w:r w:rsidRPr="00282178" w:rsidR="00F27BEE">
        <w:rPr>
          <w:lang w:val="en-GB"/>
        </w:rPr>
        <w:t>from him</w:t>
      </w:r>
      <w:r w:rsidRPr="00282178" w:rsidR="00863DCD">
        <w:rPr>
          <w:lang w:val="en-GB"/>
        </w:rPr>
        <w:t xml:space="preserve">. </w:t>
      </w:r>
      <w:r w:rsidRPr="00282178" w:rsidR="00FC52C6">
        <w:rPr>
          <w:lang w:val="en-GB"/>
        </w:rPr>
        <w:t>He</w:t>
      </w:r>
      <w:r w:rsidRPr="00282178" w:rsidR="00863DCD">
        <w:rPr>
          <w:lang w:val="en-GB"/>
        </w:rPr>
        <w:t xml:space="preserve"> was </w:t>
      </w:r>
      <w:r w:rsidRPr="00282178" w:rsidR="005D7D56">
        <w:rPr>
          <w:lang w:val="en-GB"/>
        </w:rPr>
        <w:t>un</w:t>
      </w:r>
      <w:r w:rsidRPr="00282178" w:rsidR="00863DCD">
        <w:rPr>
          <w:lang w:val="en-GB"/>
        </w:rPr>
        <w:t xml:space="preserve">able to </w:t>
      </w:r>
      <w:r w:rsidRPr="00282178" w:rsidR="00161AEE">
        <w:rPr>
          <w:lang w:val="en-GB"/>
        </w:rPr>
        <w:t xml:space="preserve">recall </w:t>
      </w:r>
      <w:r w:rsidRPr="00282178" w:rsidR="006F5F6A">
        <w:rPr>
          <w:lang w:val="en-GB"/>
        </w:rPr>
        <w:t xml:space="preserve">any </w:t>
      </w:r>
      <w:r w:rsidRPr="00282178" w:rsidR="00F314ED">
        <w:rPr>
          <w:lang w:val="en-GB"/>
        </w:rPr>
        <w:t xml:space="preserve">specific </w:t>
      </w:r>
      <w:r w:rsidRPr="00282178" w:rsidR="00863DCD">
        <w:rPr>
          <w:lang w:val="en-GB"/>
        </w:rPr>
        <w:t>ac</w:t>
      </w:r>
      <w:r w:rsidRPr="00282178" w:rsidR="00F314ED">
        <w:rPr>
          <w:lang w:val="en-GB"/>
        </w:rPr>
        <w:t>t</w:t>
      </w:r>
      <w:r w:rsidRPr="00282178" w:rsidR="00F67CC0">
        <w:rPr>
          <w:lang w:val="en-GB"/>
        </w:rPr>
        <w:t>s</w:t>
      </w:r>
      <w:r w:rsidRPr="00282178" w:rsidR="00F314ED">
        <w:rPr>
          <w:lang w:val="en-GB"/>
        </w:rPr>
        <w:t xml:space="preserve"> of violence</w:t>
      </w:r>
      <w:r w:rsidRPr="00282178" w:rsidR="009A35BC">
        <w:rPr>
          <w:lang w:val="en-GB"/>
        </w:rPr>
        <w:t xml:space="preserve"> by </w:t>
      </w:r>
      <w:r w:rsidRPr="00282178" w:rsidR="00FC52C6">
        <w:rPr>
          <w:lang w:val="en-GB"/>
        </w:rPr>
        <w:t>him</w:t>
      </w:r>
      <w:r w:rsidRPr="00282178" w:rsidR="00F67CC0">
        <w:rPr>
          <w:lang w:val="en-GB"/>
        </w:rPr>
        <w:t>.</w:t>
      </w:r>
    </w:p>
    <w:p w:rsidRPr="00282178" w:rsidR="00863DC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21</w:t>
      </w:r>
      <w:r w:rsidRPr="00282178">
        <w:rPr>
          <w:lang w:val="en-GB"/>
        </w:rPr>
        <w:fldChar w:fldCharType="end"/>
      </w:r>
      <w:r w:rsidRPr="00282178" w:rsidR="00C11265">
        <w:rPr>
          <w:lang w:val="en-GB"/>
        </w:rPr>
        <w:t>.  </w:t>
      </w:r>
      <w:r w:rsidRPr="00282178" w:rsidR="00863DCD">
        <w:rPr>
          <w:lang w:val="en-GB"/>
        </w:rPr>
        <w:t xml:space="preserve">On 25 August 2006 the criminal proceedings against F. were </w:t>
      </w:r>
      <w:r w:rsidRPr="00282178" w:rsidR="005D7D56">
        <w:rPr>
          <w:lang w:val="en-GB"/>
        </w:rPr>
        <w:t>discontinued</w:t>
      </w:r>
      <w:r w:rsidRPr="00282178" w:rsidR="00863DCD">
        <w:rPr>
          <w:lang w:val="en-GB"/>
        </w:rPr>
        <w:t xml:space="preserve"> </w:t>
      </w:r>
      <w:r w:rsidRPr="00282178" w:rsidR="005D7D56">
        <w:rPr>
          <w:lang w:val="en-GB"/>
        </w:rPr>
        <w:t xml:space="preserve">under Article 27 (1) § 1 of the CCrP </w:t>
      </w:r>
      <w:r w:rsidRPr="00282178" w:rsidR="00863DCD">
        <w:rPr>
          <w:lang w:val="en-GB"/>
        </w:rPr>
        <w:t>on the ground</w:t>
      </w:r>
      <w:r w:rsidRPr="00282178" w:rsidR="00DD04FD">
        <w:rPr>
          <w:lang w:val="en-GB"/>
        </w:rPr>
        <w:t>s</w:t>
      </w:r>
      <w:r w:rsidRPr="00282178" w:rsidR="00863DCD">
        <w:rPr>
          <w:lang w:val="en-GB"/>
        </w:rPr>
        <w:t xml:space="preserve"> that he had not been </w:t>
      </w:r>
      <w:r w:rsidRPr="00282178" w:rsidR="00C16639">
        <w:rPr>
          <w:lang w:val="en-GB"/>
        </w:rPr>
        <w:t xml:space="preserve">involved </w:t>
      </w:r>
      <w:r w:rsidRPr="00282178" w:rsidR="00863DCD">
        <w:rPr>
          <w:lang w:val="en-GB"/>
        </w:rPr>
        <w:t>in the crime.</w:t>
      </w:r>
    </w:p>
    <w:p w:rsidRPr="00282178" w:rsidR="00A440A3"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22</w:t>
      </w:r>
      <w:r w:rsidRPr="00282178">
        <w:rPr>
          <w:lang w:val="en-GB"/>
        </w:rPr>
        <w:fldChar w:fldCharType="end"/>
      </w:r>
      <w:r w:rsidRPr="00282178" w:rsidR="00863DCD">
        <w:rPr>
          <w:lang w:val="en-GB"/>
        </w:rPr>
        <w:t xml:space="preserve">.  On 10 January 2007 </w:t>
      </w:r>
      <w:r w:rsidRPr="00282178" w:rsidR="00FF10BD">
        <w:rPr>
          <w:lang w:val="en-GB"/>
        </w:rPr>
        <w:t>an on-site examination</w:t>
      </w:r>
      <w:r w:rsidRPr="00282178" w:rsidR="00996548">
        <w:rPr>
          <w:lang w:val="en-GB"/>
        </w:rPr>
        <w:t xml:space="preserve"> </w:t>
      </w:r>
      <w:r w:rsidRPr="00282178" w:rsidR="00FF10BD">
        <w:rPr>
          <w:lang w:val="en-GB"/>
        </w:rPr>
        <w:t xml:space="preserve">of </w:t>
      </w:r>
      <w:r w:rsidRPr="00282178" w:rsidR="009A561F">
        <w:rPr>
          <w:lang w:val="en-GB"/>
        </w:rPr>
        <w:t>room no. </w:t>
      </w:r>
      <w:r w:rsidRPr="00282178" w:rsidR="00863DCD">
        <w:rPr>
          <w:lang w:val="en-GB"/>
        </w:rPr>
        <w:t xml:space="preserve">306 was </w:t>
      </w:r>
      <w:r w:rsidRPr="00282178" w:rsidR="00FF10BD">
        <w:rPr>
          <w:lang w:val="en-GB"/>
        </w:rPr>
        <w:t>carried out</w:t>
      </w:r>
      <w:r w:rsidRPr="00282178" w:rsidR="00863DCD">
        <w:rPr>
          <w:lang w:val="en-GB"/>
        </w:rPr>
        <w:t>.</w:t>
      </w:r>
    </w:p>
    <w:p w:rsidRPr="00282178" w:rsidR="00863DC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23</w:t>
      </w:r>
      <w:r w:rsidRPr="00282178">
        <w:rPr>
          <w:lang w:val="en-GB"/>
        </w:rPr>
        <w:fldChar w:fldCharType="end"/>
      </w:r>
      <w:r w:rsidRPr="00282178" w:rsidR="00751112">
        <w:rPr>
          <w:lang w:val="en-GB"/>
        </w:rPr>
        <w:t>.  </w:t>
      </w:r>
      <w:r w:rsidRPr="00282178" w:rsidR="00863DCD">
        <w:rPr>
          <w:lang w:val="en-GB"/>
        </w:rPr>
        <w:t xml:space="preserve">On 26 January 2007 a confrontation was held between the applicant and police officers </w:t>
      </w:r>
      <w:r w:rsidRPr="00282178" w:rsidR="00751112">
        <w:rPr>
          <w:lang w:val="en-GB"/>
        </w:rPr>
        <w:t>A. and G</w:t>
      </w:r>
      <w:r w:rsidRPr="00282178" w:rsidR="00863DCD">
        <w:rPr>
          <w:lang w:val="en-GB"/>
        </w:rPr>
        <w:t>.</w:t>
      </w:r>
      <w:r w:rsidRPr="00282178" w:rsidR="00EA1295">
        <w:rPr>
          <w:lang w:val="en-GB"/>
        </w:rPr>
        <w:t>, who</w:t>
      </w:r>
      <w:r w:rsidRPr="00282178" w:rsidR="00F503C7">
        <w:rPr>
          <w:lang w:val="en-GB"/>
        </w:rPr>
        <w:t xml:space="preserve"> again</w:t>
      </w:r>
      <w:r w:rsidRPr="00282178" w:rsidR="00EA1295">
        <w:rPr>
          <w:lang w:val="en-GB"/>
        </w:rPr>
        <w:t xml:space="preserve"> both denied</w:t>
      </w:r>
      <w:r w:rsidRPr="00282178" w:rsidR="00F503C7">
        <w:rPr>
          <w:lang w:val="en-GB"/>
        </w:rPr>
        <w:t xml:space="preserve"> using</w:t>
      </w:r>
      <w:r w:rsidRPr="00282178" w:rsidR="00EA1295">
        <w:rPr>
          <w:lang w:val="en-GB"/>
        </w:rPr>
        <w:t xml:space="preserve"> any violence towards the applicant.</w:t>
      </w:r>
      <w:r w:rsidRPr="00282178" w:rsidR="00863DCD">
        <w:rPr>
          <w:lang w:val="en-GB"/>
        </w:rPr>
        <w:t xml:space="preserve"> </w:t>
      </w:r>
      <w:r w:rsidRPr="00282178" w:rsidR="00751112">
        <w:rPr>
          <w:lang w:val="en-GB"/>
        </w:rPr>
        <w:t xml:space="preserve">The applicant stated that A. had taken part in his </w:t>
      </w:r>
      <w:r w:rsidRPr="00282178" w:rsidR="0050513E">
        <w:rPr>
          <w:lang w:val="en-GB"/>
        </w:rPr>
        <w:t>ill</w:t>
      </w:r>
      <w:r w:rsidRPr="00282178" w:rsidR="0050513E">
        <w:rPr>
          <w:lang w:val="en-GB"/>
        </w:rPr>
        <w:noBreakHyphen/>
      </w:r>
      <w:r w:rsidRPr="00282178" w:rsidR="00751112">
        <w:rPr>
          <w:lang w:val="en-GB"/>
        </w:rPr>
        <w:t xml:space="preserve">treatment, but </w:t>
      </w:r>
      <w:r w:rsidRPr="00282178" w:rsidR="006F5F6A">
        <w:rPr>
          <w:lang w:val="en-GB"/>
        </w:rPr>
        <w:t xml:space="preserve">he </w:t>
      </w:r>
      <w:r w:rsidRPr="00282178" w:rsidR="00751112">
        <w:rPr>
          <w:lang w:val="en-GB"/>
        </w:rPr>
        <w:t xml:space="preserve">was unable to recall </w:t>
      </w:r>
      <w:r w:rsidRPr="00282178" w:rsidR="006F5F6A">
        <w:rPr>
          <w:lang w:val="en-GB"/>
        </w:rPr>
        <w:t xml:space="preserve">any </w:t>
      </w:r>
      <w:r w:rsidRPr="00282178" w:rsidR="00751112">
        <w:rPr>
          <w:lang w:val="en-GB"/>
        </w:rPr>
        <w:t>specific acts of violence</w:t>
      </w:r>
      <w:r w:rsidRPr="00282178" w:rsidR="009A35BC">
        <w:rPr>
          <w:lang w:val="en-GB"/>
        </w:rPr>
        <w:t xml:space="preserve"> by </w:t>
      </w:r>
      <w:r w:rsidRPr="00282178" w:rsidR="006F5F6A">
        <w:rPr>
          <w:lang w:val="en-GB"/>
        </w:rPr>
        <w:t>him</w:t>
      </w:r>
      <w:r w:rsidRPr="00282178" w:rsidR="00751112">
        <w:rPr>
          <w:lang w:val="en-GB"/>
        </w:rPr>
        <w:t xml:space="preserve">. He explained that he had not previously identified A. because </w:t>
      </w:r>
      <w:r w:rsidRPr="00282178" w:rsidR="00C16639">
        <w:rPr>
          <w:lang w:val="en-GB"/>
        </w:rPr>
        <w:t xml:space="preserve">he had </w:t>
      </w:r>
      <w:r w:rsidRPr="00282178" w:rsidR="00751112">
        <w:rPr>
          <w:lang w:val="en-GB"/>
        </w:rPr>
        <w:t xml:space="preserve">poor eyesight. </w:t>
      </w:r>
      <w:r w:rsidRPr="00282178" w:rsidR="00EA1295">
        <w:rPr>
          <w:lang w:val="en-GB"/>
        </w:rPr>
        <w:t xml:space="preserve">On the same day the investigating authority refused to bring criminal proceedings against A. </w:t>
      </w:r>
      <w:r w:rsidRPr="00282178" w:rsidR="00D8543A">
        <w:rPr>
          <w:lang w:val="en-GB"/>
        </w:rPr>
        <w:t>on the grounds that the constituent elements of a crime were missing</w:t>
      </w:r>
      <w:r w:rsidRPr="00282178" w:rsidR="00EA1295">
        <w:rPr>
          <w:lang w:val="en-GB"/>
        </w:rPr>
        <w:t xml:space="preserve">. </w:t>
      </w:r>
      <w:r w:rsidRPr="00282178" w:rsidR="00751112">
        <w:rPr>
          <w:lang w:val="en-GB"/>
        </w:rPr>
        <w:t>The applicant</w:t>
      </w:r>
      <w:r w:rsidRPr="00282178" w:rsidR="00EA1295">
        <w:rPr>
          <w:lang w:val="en-GB"/>
        </w:rPr>
        <w:t xml:space="preserve"> </w:t>
      </w:r>
      <w:r w:rsidRPr="00282178" w:rsidR="00863DCD">
        <w:rPr>
          <w:lang w:val="en-GB"/>
        </w:rPr>
        <w:t xml:space="preserve">stated that </w:t>
      </w:r>
      <w:r w:rsidRPr="00282178" w:rsidR="00EA1295">
        <w:rPr>
          <w:lang w:val="en-GB"/>
        </w:rPr>
        <w:t>G</w:t>
      </w:r>
      <w:r w:rsidRPr="00282178" w:rsidR="009A561F">
        <w:rPr>
          <w:lang w:val="en-GB"/>
        </w:rPr>
        <w:t>.</w:t>
      </w:r>
      <w:r w:rsidRPr="00282178" w:rsidR="00863DCD">
        <w:rPr>
          <w:lang w:val="en-GB"/>
        </w:rPr>
        <w:t xml:space="preserve"> had not </w:t>
      </w:r>
      <w:r w:rsidRPr="00282178" w:rsidR="00264ECE">
        <w:rPr>
          <w:lang w:val="en-GB"/>
        </w:rPr>
        <w:t xml:space="preserve">assaulted </w:t>
      </w:r>
      <w:r w:rsidRPr="00282178" w:rsidR="00863DCD">
        <w:rPr>
          <w:lang w:val="en-GB"/>
        </w:rPr>
        <w:t xml:space="preserve">him, </w:t>
      </w:r>
      <w:r w:rsidRPr="00282178" w:rsidR="00264ECE">
        <w:rPr>
          <w:lang w:val="en-GB"/>
        </w:rPr>
        <w:t xml:space="preserve">but </w:t>
      </w:r>
      <w:r w:rsidRPr="00282178" w:rsidR="00863DCD">
        <w:rPr>
          <w:lang w:val="en-GB"/>
        </w:rPr>
        <w:t xml:space="preserve">had </w:t>
      </w:r>
      <w:r w:rsidRPr="00282178" w:rsidR="00EA1295">
        <w:rPr>
          <w:lang w:val="en-GB"/>
        </w:rPr>
        <w:t xml:space="preserve">interviewed him and had </w:t>
      </w:r>
      <w:r w:rsidRPr="00282178" w:rsidR="009A561F">
        <w:rPr>
          <w:lang w:val="en-GB"/>
        </w:rPr>
        <w:t>been present during</w:t>
      </w:r>
      <w:r w:rsidRPr="00282178" w:rsidR="00863DCD">
        <w:rPr>
          <w:lang w:val="en-GB"/>
        </w:rPr>
        <w:t xml:space="preserve"> his ill-treatment</w:t>
      </w:r>
      <w:r w:rsidRPr="00282178" w:rsidR="009663FC">
        <w:rPr>
          <w:lang w:val="en-GB"/>
        </w:rPr>
        <w:t>.</w:t>
      </w:r>
    </w:p>
    <w:p w:rsidRPr="00282178" w:rsidR="009663FC"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24</w:t>
      </w:r>
      <w:r w:rsidRPr="00282178">
        <w:rPr>
          <w:lang w:val="en-GB"/>
        </w:rPr>
        <w:fldChar w:fldCharType="end"/>
      </w:r>
      <w:r w:rsidRPr="00282178" w:rsidR="0050513E">
        <w:rPr>
          <w:lang w:val="en-GB"/>
        </w:rPr>
        <w:t>.  On 26 January 2007 p</w:t>
      </w:r>
      <w:r w:rsidRPr="00282178" w:rsidR="00863DCD">
        <w:rPr>
          <w:lang w:val="en-GB"/>
        </w:rPr>
        <w:t xml:space="preserve">hotographs of </w:t>
      </w:r>
      <w:r w:rsidRPr="00282178" w:rsidR="0050513E">
        <w:rPr>
          <w:lang w:val="en-GB"/>
        </w:rPr>
        <w:t>several</w:t>
      </w:r>
      <w:r w:rsidRPr="00282178" w:rsidR="00863DCD">
        <w:rPr>
          <w:lang w:val="en-GB"/>
        </w:rPr>
        <w:t xml:space="preserve"> other police officers were shown to the applicant. He did not identify </w:t>
      </w:r>
      <w:r w:rsidRPr="00282178" w:rsidR="0039017B">
        <w:rPr>
          <w:lang w:val="en-GB"/>
        </w:rPr>
        <w:t xml:space="preserve">the </w:t>
      </w:r>
      <w:r w:rsidRPr="00282178" w:rsidR="002B6111">
        <w:rPr>
          <w:lang w:val="en-GB"/>
        </w:rPr>
        <w:t>culprits</w:t>
      </w:r>
      <w:r w:rsidRPr="00282178" w:rsidR="00863DCD">
        <w:rPr>
          <w:lang w:val="en-GB"/>
        </w:rPr>
        <w:t>.</w:t>
      </w:r>
    </w:p>
    <w:p w:rsidRPr="00282178" w:rsidR="00863DC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25</w:t>
      </w:r>
      <w:r w:rsidRPr="00282178">
        <w:rPr>
          <w:lang w:val="en-GB"/>
        </w:rPr>
        <w:fldChar w:fldCharType="end"/>
      </w:r>
      <w:r w:rsidRPr="00282178" w:rsidR="009663FC">
        <w:rPr>
          <w:lang w:val="en-GB"/>
        </w:rPr>
        <w:t>.  </w:t>
      </w:r>
      <w:r w:rsidRPr="00282178" w:rsidR="0050513E">
        <w:rPr>
          <w:lang w:val="en-GB"/>
        </w:rPr>
        <w:t xml:space="preserve">On the same day the criminal proceedings were suspended on the grounds that the perpetrators had not been </w:t>
      </w:r>
      <w:r w:rsidRPr="00282178" w:rsidR="00C16639">
        <w:rPr>
          <w:lang w:val="en-GB"/>
        </w:rPr>
        <w:t>identified</w:t>
      </w:r>
      <w:r w:rsidRPr="00282178" w:rsidR="0050513E">
        <w:rPr>
          <w:lang w:val="en-GB"/>
        </w:rPr>
        <w:t xml:space="preserve">. The investigation was subsequently resumed and </w:t>
      </w:r>
      <w:r w:rsidRPr="00282178" w:rsidR="00264ECE">
        <w:rPr>
          <w:lang w:val="en-GB"/>
        </w:rPr>
        <w:t xml:space="preserve">on 19 April 2007 was </w:t>
      </w:r>
      <w:r w:rsidRPr="00282178" w:rsidR="0050513E">
        <w:rPr>
          <w:lang w:val="en-GB"/>
        </w:rPr>
        <w:t>suspended again on the same grounds</w:t>
      </w:r>
      <w:r w:rsidRPr="00282178" w:rsidR="00DD04FD">
        <w:rPr>
          <w:lang w:val="en-GB"/>
        </w:rPr>
        <w:t>.</w:t>
      </w:r>
    </w:p>
    <w:p w:rsidRPr="00282178" w:rsidR="00863DCD" w:rsidP="00282178" w:rsidRDefault="00DD04FD">
      <w:pPr>
        <w:pStyle w:val="ECHRHeading2"/>
        <w:rPr>
          <w:lang w:val="en-GB"/>
        </w:rPr>
      </w:pPr>
      <w:r w:rsidRPr="00282178">
        <w:rPr>
          <w:lang w:val="en-GB"/>
        </w:rPr>
        <w:t>C.  </w:t>
      </w:r>
      <w:r w:rsidRPr="00282178" w:rsidR="00126C38">
        <w:rPr>
          <w:lang w:val="en-GB"/>
        </w:rPr>
        <w:t>Compensation proceedings</w:t>
      </w:r>
    </w:p>
    <w:p w:rsidRPr="00282178" w:rsidR="002D0F57"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26</w:t>
      </w:r>
      <w:r w:rsidRPr="00282178">
        <w:rPr>
          <w:lang w:val="en-GB"/>
        </w:rPr>
        <w:fldChar w:fldCharType="end"/>
      </w:r>
      <w:r w:rsidRPr="00282178" w:rsidR="0039017B">
        <w:rPr>
          <w:lang w:val="en-GB"/>
        </w:rPr>
        <w:t>.  </w:t>
      </w:r>
      <w:r w:rsidRPr="00282178" w:rsidR="002D0F57">
        <w:rPr>
          <w:lang w:val="en-GB"/>
        </w:rPr>
        <w:t>In 200</w:t>
      </w:r>
      <w:r w:rsidRPr="00282178" w:rsidR="00126C38">
        <w:rPr>
          <w:lang w:val="en-GB"/>
        </w:rPr>
        <w:t>8</w:t>
      </w:r>
      <w:r w:rsidRPr="00282178" w:rsidR="002D0F57">
        <w:rPr>
          <w:lang w:val="en-GB"/>
        </w:rPr>
        <w:t xml:space="preserve"> the applicant brought a civil claim against </w:t>
      </w:r>
      <w:r w:rsidRPr="00282178" w:rsidR="00126C38">
        <w:rPr>
          <w:lang w:val="en-GB"/>
        </w:rPr>
        <w:t>the Russian Ministry of Finance</w:t>
      </w:r>
      <w:r w:rsidRPr="00282178" w:rsidR="00264ECE">
        <w:rPr>
          <w:lang w:val="en-GB"/>
        </w:rPr>
        <w:t>, seeking</w:t>
      </w:r>
      <w:r w:rsidRPr="00282178" w:rsidR="00126C38">
        <w:rPr>
          <w:lang w:val="en-GB"/>
        </w:rPr>
        <w:t xml:space="preserve"> 500,000</w:t>
      </w:r>
      <w:r w:rsidRPr="00282178" w:rsidR="002D0F57">
        <w:rPr>
          <w:lang w:val="en-GB"/>
        </w:rPr>
        <w:t xml:space="preserve"> Russian roubles (RUB</w:t>
      </w:r>
      <w:r w:rsidRPr="00282178" w:rsidR="00126C38">
        <w:rPr>
          <w:lang w:val="en-GB"/>
        </w:rPr>
        <w:t>)</w:t>
      </w:r>
      <w:r w:rsidRPr="00282178" w:rsidR="00264ECE">
        <w:rPr>
          <w:lang w:val="en-GB"/>
        </w:rPr>
        <w:t xml:space="preserve"> in damages </w:t>
      </w:r>
      <w:r w:rsidRPr="00282178" w:rsidR="00126C38">
        <w:rPr>
          <w:lang w:val="en-GB"/>
        </w:rPr>
        <w:t xml:space="preserve">in connection with his </w:t>
      </w:r>
      <w:r w:rsidRPr="00282178" w:rsidR="000500B3">
        <w:rPr>
          <w:lang w:val="en-GB"/>
        </w:rPr>
        <w:t>torture</w:t>
      </w:r>
      <w:r w:rsidRPr="00282178" w:rsidR="00126C38">
        <w:rPr>
          <w:lang w:val="en-GB"/>
        </w:rPr>
        <w:t xml:space="preserve"> by </w:t>
      </w:r>
      <w:r w:rsidRPr="00282178" w:rsidR="00264ECE">
        <w:rPr>
          <w:lang w:val="en-GB"/>
        </w:rPr>
        <w:t xml:space="preserve">the </w:t>
      </w:r>
      <w:r w:rsidRPr="00282178" w:rsidR="00126C38">
        <w:rPr>
          <w:lang w:val="en-GB"/>
        </w:rPr>
        <w:t>police.</w:t>
      </w:r>
      <w:r w:rsidRPr="00282178" w:rsidR="000500B3">
        <w:rPr>
          <w:lang w:val="en-GB"/>
        </w:rPr>
        <w:t xml:space="preserve"> He stated that the circumstances of the case gave reason to believe that the amount claimed was lower than compensation to which he would be entitled under Article 41 of the Convention for the Protection of Human Rights and Fundamental Freedoms, however he considered it preferable to settle the case at the domestic court.</w:t>
      </w:r>
    </w:p>
    <w:p w:rsidRPr="00282178" w:rsidR="00A440A3"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27</w:t>
      </w:r>
      <w:r w:rsidRPr="00282178">
        <w:rPr>
          <w:lang w:val="en-GB"/>
        </w:rPr>
        <w:fldChar w:fldCharType="end"/>
      </w:r>
      <w:r w:rsidRPr="00282178" w:rsidR="000500B3">
        <w:rPr>
          <w:lang w:val="en-GB"/>
        </w:rPr>
        <w:t>.  </w:t>
      </w:r>
      <w:r w:rsidRPr="00282178" w:rsidR="00863DCD">
        <w:rPr>
          <w:lang w:val="en-GB"/>
        </w:rPr>
        <w:t xml:space="preserve">On 17 November 2008 the Sovetskiy District Court of Nizhniy Novgorod </w:t>
      </w:r>
      <w:r w:rsidRPr="00282178" w:rsidR="00B83F94">
        <w:rPr>
          <w:lang w:val="en-GB"/>
        </w:rPr>
        <w:t xml:space="preserve">(“the District Court”) </w:t>
      </w:r>
      <w:r w:rsidRPr="00282178" w:rsidR="00BE2F18">
        <w:rPr>
          <w:lang w:val="en-GB"/>
        </w:rPr>
        <w:t>acknowledged a violation of the applicant</w:t>
      </w:r>
      <w:r w:rsidRPr="00282178" w:rsidR="00282178">
        <w:rPr>
          <w:lang w:val="en-GB"/>
        </w:rPr>
        <w:t>’</w:t>
      </w:r>
      <w:r w:rsidRPr="00282178" w:rsidR="00BE2F18">
        <w:rPr>
          <w:lang w:val="en-GB"/>
        </w:rPr>
        <w:t xml:space="preserve">s right not to be subjected to treatment proscribed under Article 3 of the Convention, </w:t>
      </w:r>
      <w:r w:rsidRPr="00282178" w:rsidR="00126C38">
        <w:rPr>
          <w:lang w:val="en-GB"/>
        </w:rPr>
        <w:t>allowed the applicant</w:t>
      </w:r>
      <w:r w:rsidRPr="00282178" w:rsidR="00282178">
        <w:rPr>
          <w:lang w:val="en-GB"/>
        </w:rPr>
        <w:t>’</w:t>
      </w:r>
      <w:r w:rsidRPr="00282178" w:rsidR="00126C38">
        <w:rPr>
          <w:lang w:val="en-GB"/>
        </w:rPr>
        <w:t>s civil claim in part and awarded him RUB</w:t>
      </w:r>
      <w:r w:rsidRPr="00282178" w:rsidR="009A7411">
        <w:rPr>
          <w:lang w:val="en-GB"/>
        </w:rPr>
        <w:t> </w:t>
      </w:r>
      <w:r w:rsidRPr="00282178" w:rsidR="00126C38">
        <w:rPr>
          <w:lang w:val="en-GB"/>
        </w:rPr>
        <w:t>50,000</w:t>
      </w:r>
      <w:r w:rsidRPr="00282178" w:rsidR="009D27B9">
        <w:rPr>
          <w:lang w:val="en-GB"/>
        </w:rPr>
        <w:t xml:space="preserve"> </w:t>
      </w:r>
      <w:r w:rsidRPr="00282178" w:rsidR="00D635A4">
        <w:rPr>
          <w:lang w:val="en-GB"/>
        </w:rPr>
        <w:t>(about 1,450 euros (EUR))</w:t>
      </w:r>
      <w:r w:rsidRPr="00282178" w:rsidR="009D27B9">
        <w:rPr>
          <w:lang w:val="en-GB"/>
        </w:rPr>
        <w:t>.</w:t>
      </w:r>
    </w:p>
    <w:p w:rsidRPr="00282178" w:rsidR="00A440A3"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28</w:t>
      </w:r>
      <w:r w:rsidRPr="00282178">
        <w:rPr>
          <w:lang w:val="en-GB"/>
        </w:rPr>
        <w:fldChar w:fldCharType="end"/>
      </w:r>
      <w:r w:rsidRPr="00282178" w:rsidR="00993AA0">
        <w:rPr>
          <w:lang w:val="en-GB"/>
        </w:rPr>
        <w:t>.  </w:t>
      </w:r>
      <w:r w:rsidRPr="00282178" w:rsidR="003D5C11">
        <w:rPr>
          <w:lang w:val="en-GB"/>
        </w:rPr>
        <w:t>It</w:t>
      </w:r>
      <w:r w:rsidRPr="00282178" w:rsidR="00BE2F18">
        <w:rPr>
          <w:lang w:val="en-GB"/>
        </w:rPr>
        <w:t xml:space="preserve"> </w:t>
      </w:r>
      <w:r w:rsidRPr="00282178" w:rsidR="00374CDF">
        <w:rPr>
          <w:lang w:val="en-GB"/>
        </w:rPr>
        <w:t>referred to</w:t>
      </w:r>
      <w:r w:rsidRPr="00282178" w:rsidR="003D5C11">
        <w:rPr>
          <w:lang w:val="en-GB"/>
        </w:rPr>
        <w:t xml:space="preserve"> </w:t>
      </w:r>
      <w:r w:rsidRPr="00282178" w:rsidR="00757BAD">
        <w:rPr>
          <w:lang w:val="en-GB"/>
        </w:rPr>
        <w:t xml:space="preserve">Convention </w:t>
      </w:r>
      <w:r w:rsidRPr="00282178" w:rsidR="003D5C11">
        <w:rPr>
          <w:lang w:val="en-GB"/>
        </w:rPr>
        <w:t>case</w:t>
      </w:r>
      <w:r w:rsidRPr="00282178" w:rsidR="003D5C11">
        <w:rPr>
          <w:lang w:val="en-GB"/>
        </w:rPr>
        <w:noBreakHyphen/>
        <w:t>law under Article 3 concerning the State</w:t>
      </w:r>
      <w:r w:rsidRPr="00282178" w:rsidR="00282178">
        <w:rPr>
          <w:lang w:val="en-GB"/>
        </w:rPr>
        <w:t>’</w:t>
      </w:r>
      <w:r w:rsidRPr="00282178" w:rsidR="003D5C11">
        <w:rPr>
          <w:lang w:val="en-GB"/>
        </w:rPr>
        <w:t xml:space="preserve">s obligation to carry out an effective investigation, notably the case of </w:t>
      </w:r>
      <w:r w:rsidRPr="00282178" w:rsidR="003D5C11">
        <w:rPr>
          <w:i/>
          <w:lang w:val="en-GB"/>
        </w:rPr>
        <w:t>Mikheyev v. Russia</w:t>
      </w:r>
      <w:r w:rsidRPr="00282178" w:rsidR="003D5C11">
        <w:rPr>
          <w:lang w:val="en-GB"/>
        </w:rPr>
        <w:t xml:space="preserve"> (no. 77617/01, 26 January 2006).</w:t>
      </w:r>
      <w:r w:rsidRPr="00282178" w:rsidR="00586F6B">
        <w:rPr>
          <w:lang w:val="en-GB"/>
        </w:rPr>
        <w:t xml:space="preserve"> </w:t>
      </w:r>
      <w:r w:rsidRPr="00282178" w:rsidR="0058433F">
        <w:rPr>
          <w:lang w:val="en-GB"/>
        </w:rPr>
        <w:t xml:space="preserve">It noted that the criminal proceedings had been initiated after six refusals to do so </w:t>
      </w:r>
      <w:r w:rsidRPr="00282178" w:rsidR="00DC608A">
        <w:rPr>
          <w:lang w:val="en-GB"/>
        </w:rPr>
        <w:t xml:space="preserve">and that it had been acknowledged that the applicant had been the victim of </w:t>
      </w:r>
      <w:r w:rsidRPr="00282178" w:rsidR="00C16639">
        <w:rPr>
          <w:lang w:val="en-GB"/>
        </w:rPr>
        <w:t xml:space="preserve">a </w:t>
      </w:r>
      <w:r w:rsidRPr="00282178" w:rsidR="00DC608A">
        <w:rPr>
          <w:lang w:val="en-GB"/>
        </w:rPr>
        <w:t>crime</w:t>
      </w:r>
      <w:r w:rsidRPr="00282178" w:rsidR="0058433F">
        <w:rPr>
          <w:lang w:val="en-GB"/>
        </w:rPr>
        <w:t>.</w:t>
      </w:r>
    </w:p>
    <w:p w:rsidRPr="00282178" w:rsidR="00F72936"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29</w:t>
      </w:r>
      <w:r w:rsidRPr="00282178">
        <w:rPr>
          <w:lang w:val="en-GB"/>
        </w:rPr>
        <w:fldChar w:fldCharType="end"/>
      </w:r>
      <w:r w:rsidRPr="00282178" w:rsidR="00DC608A">
        <w:rPr>
          <w:lang w:val="en-GB"/>
        </w:rPr>
        <w:t>.  </w:t>
      </w:r>
      <w:r w:rsidRPr="00282178" w:rsidR="00586F6B">
        <w:rPr>
          <w:lang w:val="en-GB"/>
        </w:rPr>
        <w:t>The District Court g</w:t>
      </w:r>
      <w:r w:rsidRPr="00282178" w:rsidR="00757BAD">
        <w:rPr>
          <w:lang w:val="en-GB"/>
        </w:rPr>
        <w:t>a</w:t>
      </w:r>
      <w:r w:rsidRPr="00282178" w:rsidR="00586F6B">
        <w:rPr>
          <w:lang w:val="en-GB"/>
        </w:rPr>
        <w:t>ve credence to the applicant</w:t>
      </w:r>
      <w:r w:rsidRPr="00282178" w:rsidR="00282178">
        <w:rPr>
          <w:lang w:val="en-GB"/>
        </w:rPr>
        <w:t>’</w:t>
      </w:r>
      <w:r w:rsidRPr="00282178" w:rsidR="00586F6B">
        <w:rPr>
          <w:lang w:val="en-GB"/>
        </w:rPr>
        <w:t>s mother</w:t>
      </w:r>
      <w:r w:rsidRPr="00282178" w:rsidR="00282178">
        <w:rPr>
          <w:lang w:val="en-GB"/>
        </w:rPr>
        <w:t>’</w:t>
      </w:r>
      <w:r w:rsidRPr="00282178" w:rsidR="00586F6B">
        <w:rPr>
          <w:lang w:val="en-GB"/>
        </w:rPr>
        <w:t xml:space="preserve">s </w:t>
      </w:r>
      <w:r w:rsidRPr="00282178" w:rsidR="00374CDF">
        <w:rPr>
          <w:lang w:val="en-GB"/>
        </w:rPr>
        <w:t xml:space="preserve">version </w:t>
      </w:r>
      <w:r w:rsidRPr="00282178" w:rsidR="00586F6B">
        <w:rPr>
          <w:lang w:val="en-GB"/>
        </w:rPr>
        <w:t>of events</w:t>
      </w:r>
      <w:r w:rsidRPr="00282178" w:rsidR="00374CDF">
        <w:rPr>
          <w:lang w:val="en-GB"/>
        </w:rPr>
        <w:t>,</w:t>
      </w:r>
      <w:r w:rsidRPr="00282178" w:rsidR="00586F6B">
        <w:rPr>
          <w:lang w:val="en-GB"/>
        </w:rPr>
        <w:t xml:space="preserve"> which </w:t>
      </w:r>
      <w:r w:rsidRPr="00282178" w:rsidR="002B6111">
        <w:rPr>
          <w:lang w:val="en-GB"/>
        </w:rPr>
        <w:t>it found</w:t>
      </w:r>
      <w:r w:rsidRPr="00282178" w:rsidR="00586F6B">
        <w:rPr>
          <w:lang w:val="en-GB"/>
        </w:rPr>
        <w:t xml:space="preserve"> </w:t>
      </w:r>
      <w:r w:rsidRPr="00282178" w:rsidR="00235680">
        <w:rPr>
          <w:lang w:val="en-GB"/>
        </w:rPr>
        <w:t xml:space="preserve">to be consistent </w:t>
      </w:r>
      <w:r w:rsidRPr="00282178" w:rsidR="00586F6B">
        <w:rPr>
          <w:lang w:val="en-GB"/>
        </w:rPr>
        <w:t>with other evidence in the case, in particular statements</w:t>
      </w:r>
      <w:r w:rsidRPr="00282178" w:rsidR="00C16639">
        <w:rPr>
          <w:lang w:val="en-GB"/>
        </w:rPr>
        <w:t xml:space="preserve"> by her</w:t>
      </w:r>
      <w:r w:rsidRPr="00282178" w:rsidR="00586F6B">
        <w:rPr>
          <w:lang w:val="en-GB"/>
        </w:rPr>
        <w:t xml:space="preserve"> that the applicant had had no injuries when he had left </w:t>
      </w:r>
      <w:r w:rsidRPr="00282178" w:rsidR="00993AA0">
        <w:rPr>
          <w:lang w:val="en-GB"/>
        </w:rPr>
        <w:t xml:space="preserve">home </w:t>
      </w:r>
      <w:r w:rsidRPr="00282178" w:rsidR="00586F6B">
        <w:rPr>
          <w:lang w:val="en-GB"/>
        </w:rPr>
        <w:t xml:space="preserve">with the police officers and that his health had </w:t>
      </w:r>
      <w:r w:rsidRPr="00282178" w:rsidR="00235680">
        <w:rPr>
          <w:lang w:val="en-GB"/>
        </w:rPr>
        <w:t xml:space="preserve">appeared to have </w:t>
      </w:r>
      <w:r w:rsidRPr="00282178" w:rsidR="00586F6B">
        <w:rPr>
          <w:lang w:val="en-GB"/>
        </w:rPr>
        <w:t xml:space="preserve">been damaged when he had returned from the police station. Noting that the respondent authorities and the Sovetskiy district police, acting as a third party in the proceedings, had </w:t>
      </w:r>
      <w:r w:rsidRPr="00282178" w:rsidR="002B6111">
        <w:rPr>
          <w:lang w:val="en-GB"/>
        </w:rPr>
        <w:t>submitted</w:t>
      </w:r>
      <w:r w:rsidRPr="00282178" w:rsidR="00586F6B">
        <w:rPr>
          <w:lang w:val="en-GB"/>
        </w:rPr>
        <w:t xml:space="preserve"> no evidence capable of proving that the applicant could have received the injuries </w:t>
      </w:r>
      <w:r w:rsidRPr="00282178" w:rsidR="005820DB">
        <w:rPr>
          <w:lang w:val="en-GB"/>
        </w:rPr>
        <w:t>(see paragraph</w:t>
      </w:r>
      <w:r w:rsidRPr="00282178" w:rsidR="00595BCC">
        <w:rPr>
          <w:lang w:val="en-GB"/>
        </w:rPr>
        <w:t> </w:t>
      </w:r>
      <w:r w:rsidRPr="00282178" w:rsidR="005820DB">
        <w:rPr>
          <w:lang w:val="en-GB"/>
        </w:rPr>
        <w:t xml:space="preserve">11 above) </w:t>
      </w:r>
      <w:r w:rsidRPr="00282178" w:rsidR="00586F6B">
        <w:rPr>
          <w:lang w:val="en-GB"/>
        </w:rPr>
        <w:t>in other circumstances, t</w:t>
      </w:r>
      <w:r w:rsidRPr="00282178" w:rsidR="003D5C11">
        <w:rPr>
          <w:lang w:val="en-GB"/>
        </w:rPr>
        <w:t xml:space="preserve">he District Court established that </w:t>
      </w:r>
      <w:r w:rsidRPr="00282178" w:rsidR="005A47C5">
        <w:rPr>
          <w:lang w:val="en-GB"/>
        </w:rPr>
        <w:t>they</w:t>
      </w:r>
      <w:r w:rsidRPr="00282178" w:rsidR="00DC608A">
        <w:rPr>
          <w:lang w:val="en-GB"/>
        </w:rPr>
        <w:t xml:space="preserve"> </w:t>
      </w:r>
      <w:r w:rsidRPr="00282178" w:rsidR="003D5C11">
        <w:rPr>
          <w:lang w:val="en-GB"/>
        </w:rPr>
        <w:t>had been sustained during his detention at the police station</w:t>
      </w:r>
      <w:r w:rsidRPr="00282178" w:rsidR="00586F6B">
        <w:rPr>
          <w:lang w:val="en-GB"/>
        </w:rPr>
        <w:t>.</w:t>
      </w:r>
    </w:p>
    <w:p w:rsidRPr="00282178" w:rsidR="00757BAD" w:rsidP="00282178" w:rsidRDefault="00D32E3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30</w:t>
      </w:r>
      <w:r w:rsidRPr="00282178">
        <w:rPr>
          <w:lang w:val="en-GB"/>
        </w:rPr>
        <w:fldChar w:fldCharType="end"/>
      </w:r>
      <w:r w:rsidRPr="00282178">
        <w:rPr>
          <w:lang w:val="en-GB"/>
        </w:rPr>
        <w:t xml:space="preserve">.  The District Court </w:t>
      </w:r>
      <w:r w:rsidRPr="00282178" w:rsidR="003D5C11">
        <w:rPr>
          <w:lang w:val="en-GB"/>
        </w:rPr>
        <w:t xml:space="preserve">noted that </w:t>
      </w:r>
      <w:r w:rsidRPr="00282178">
        <w:rPr>
          <w:lang w:val="en-GB"/>
        </w:rPr>
        <w:t>the applicant</w:t>
      </w:r>
      <w:r w:rsidRPr="00282178" w:rsidR="003D5C11">
        <w:rPr>
          <w:lang w:val="en-GB"/>
        </w:rPr>
        <w:t xml:space="preserve"> had been </w:t>
      </w:r>
      <w:r w:rsidRPr="00282178" w:rsidR="005A47C5">
        <w:rPr>
          <w:lang w:val="en-GB"/>
        </w:rPr>
        <w:t xml:space="preserve">a </w:t>
      </w:r>
      <w:r w:rsidRPr="00282178" w:rsidR="003D5C11">
        <w:rPr>
          <w:lang w:val="en-GB"/>
        </w:rPr>
        <w:t xml:space="preserve">minor at the time and </w:t>
      </w:r>
      <w:r w:rsidRPr="00282178">
        <w:rPr>
          <w:lang w:val="en-GB"/>
        </w:rPr>
        <w:t xml:space="preserve">that, according to his submissions at the hearing, various acts of violence, to which the police officers of the Sovetskiy district police had, in the exercise of their duties, subjected him (see paragraph 9 above), had </w:t>
      </w:r>
      <w:r w:rsidRPr="00282178" w:rsidR="003D5C11">
        <w:rPr>
          <w:lang w:val="en-GB"/>
        </w:rPr>
        <w:t>caus</w:t>
      </w:r>
      <w:r w:rsidRPr="00282178">
        <w:rPr>
          <w:lang w:val="en-GB"/>
        </w:rPr>
        <w:t>ed</w:t>
      </w:r>
      <w:r w:rsidRPr="00282178" w:rsidR="003D5C11">
        <w:rPr>
          <w:lang w:val="en-GB"/>
        </w:rPr>
        <w:t xml:space="preserve"> him</w:t>
      </w:r>
      <w:r w:rsidRPr="00282178" w:rsidR="00757BAD">
        <w:rPr>
          <w:lang w:val="en-GB"/>
        </w:rPr>
        <w:t xml:space="preserve"> </w:t>
      </w:r>
      <w:r w:rsidRPr="00282178" w:rsidR="00FE7A74">
        <w:rPr>
          <w:lang w:val="en-GB"/>
        </w:rPr>
        <w:t xml:space="preserve">mental </w:t>
      </w:r>
      <w:r w:rsidRPr="00282178" w:rsidR="00757BAD">
        <w:rPr>
          <w:lang w:val="en-GB"/>
        </w:rPr>
        <w:t xml:space="preserve">and physical suffering. </w:t>
      </w:r>
      <w:r w:rsidRPr="00282178">
        <w:rPr>
          <w:lang w:val="en-GB"/>
        </w:rPr>
        <w:t xml:space="preserve">According to the applicant, he </w:t>
      </w:r>
      <w:r w:rsidRPr="00282178" w:rsidR="00757BAD">
        <w:rPr>
          <w:lang w:val="en-GB"/>
        </w:rPr>
        <w:t xml:space="preserve">had suffered severe pain </w:t>
      </w:r>
      <w:r w:rsidRPr="00282178" w:rsidR="00FE7A74">
        <w:rPr>
          <w:lang w:val="en-GB"/>
        </w:rPr>
        <w:t xml:space="preserve">as a result of </w:t>
      </w:r>
      <w:r w:rsidRPr="00282178" w:rsidR="00757BAD">
        <w:rPr>
          <w:lang w:val="en-GB"/>
        </w:rPr>
        <w:t>the police officers</w:t>
      </w:r>
      <w:r w:rsidRPr="00282178" w:rsidR="00282178">
        <w:rPr>
          <w:lang w:val="en-GB"/>
        </w:rPr>
        <w:t>’</w:t>
      </w:r>
      <w:r w:rsidRPr="00282178" w:rsidR="00757BAD">
        <w:rPr>
          <w:lang w:val="en-GB"/>
        </w:rPr>
        <w:t xml:space="preserve"> violent actions</w:t>
      </w:r>
      <w:r w:rsidRPr="00282178" w:rsidR="00FE7A74">
        <w:rPr>
          <w:lang w:val="en-GB"/>
        </w:rPr>
        <w:t>, which had included being punched, kicked,</w:t>
      </w:r>
      <w:r w:rsidRPr="00282178" w:rsidR="00BE2F25">
        <w:rPr>
          <w:lang w:val="en-GB"/>
        </w:rPr>
        <w:t xml:space="preserve"> </w:t>
      </w:r>
      <w:r w:rsidRPr="00282178" w:rsidR="00BF2F22">
        <w:rPr>
          <w:lang w:val="en-GB"/>
        </w:rPr>
        <w:t xml:space="preserve">throttled with </w:t>
      </w:r>
      <w:r w:rsidRPr="00282178" w:rsidR="002B6111">
        <w:rPr>
          <w:lang w:val="en-GB"/>
        </w:rPr>
        <w:t xml:space="preserve">a </w:t>
      </w:r>
      <w:r w:rsidRPr="00282178" w:rsidR="00BF2F22">
        <w:rPr>
          <w:lang w:val="en-GB"/>
        </w:rPr>
        <w:t>baton</w:t>
      </w:r>
      <w:r w:rsidRPr="00282178" w:rsidR="002B6111">
        <w:rPr>
          <w:lang w:val="en-GB"/>
        </w:rPr>
        <w:t>,</w:t>
      </w:r>
      <w:r w:rsidRPr="00282178" w:rsidR="00BE2F25">
        <w:rPr>
          <w:lang w:val="en-GB"/>
        </w:rPr>
        <w:t xml:space="preserve"> </w:t>
      </w:r>
      <w:r w:rsidRPr="00282178" w:rsidR="00BF2F22">
        <w:rPr>
          <w:lang w:val="en-GB"/>
        </w:rPr>
        <w:t xml:space="preserve">being </w:t>
      </w:r>
      <w:r w:rsidRPr="00282178" w:rsidR="00BE2F25">
        <w:rPr>
          <w:lang w:val="en-GB"/>
        </w:rPr>
        <w:t>unable to bre</w:t>
      </w:r>
      <w:r w:rsidRPr="00282178" w:rsidR="00993AA0">
        <w:rPr>
          <w:lang w:val="en-GB"/>
        </w:rPr>
        <w:t xml:space="preserve">ath, being sat on and jumped on, </w:t>
      </w:r>
      <w:r w:rsidRPr="00282178" w:rsidR="00BE2F25">
        <w:rPr>
          <w:lang w:val="en-GB"/>
        </w:rPr>
        <w:t>being forced to do the splits</w:t>
      </w:r>
      <w:r w:rsidRPr="00282178" w:rsidR="00993AA0">
        <w:rPr>
          <w:lang w:val="en-GB"/>
        </w:rPr>
        <w:t xml:space="preserve"> and so on</w:t>
      </w:r>
      <w:r w:rsidRPr="00282178" w:rsidR="00757BAD">
        <w:rPr>
          <w:lang w:val="en-GB"/>
        </w:rPr>
        <w:t>.</w:t>
      </w:r>
      <w:r w:rsidRPr="00282178" w:rsidR="00BE2F25">
        <w:rPr>
          <w:lang w:val="en-GB"/>
        </w:rPr>
        <w:t xml:space="preserve"> He had</w:t>
      </w:r>
      <w:r w:rsidRPr="00282178" w:rsidR="00FE7A74">
        <w:rPr>
          <w:lang w:val="en-GB"/>
        </w:rPr>
        <w:t xml:space="preserve"> been</w:t>
      </w:r>
      <w:r w:rsidRPr="00282178" w:rsidR="00BE2F25">
        <w:rPr>
          <w:lang w:val="en-GB"/>
        </w:rPr>
        <w:t xml:space="preserve"> </w:t>
      </w:r>
      <w:r w:rsidRPr="00282178" w:rsidR="00FE7A74">
        <w:rPr>
          <w:lang w:val="en-GB"/>
        </w:rPr>
        <w:t>dizzy</w:t>
      </w:r>
      <w:r w:rsidRPr="00282178" w:rsidR="00BE2F25">
        <w:rPr>
          <w:lang w:val="en-GB"/>
        </w:rPr>
        <w:t xml:space="preserve">, </w:t>
      </w:r>
      <w:r w:rsidRPr="00282178" w:rsidR="00FE7A74">
        <w:rPr>
          <w:lang w:val="en-GB"/>
        </w:rPr>
        <w:t xml:space="preserve">nauseous </w:t>
      </w:r>
      <w:r w:rsidRPr="00282178" w:rsidR="00BE2F25">
        <w:rPr>
          <w:lang w:val="en-GB"/>
        </w:rPr>
        <w:t xml:space="preserve">and </w:t>
      </w:r>
      <w:r w:rsidRPr="00282178" w:rsidR="00FE7A74">
        <w:rPr>
          <w:lang w:val="en-GB"/>
        </w:rPr>
        <w:t>sick</w:t>
      </w:r>
      <w:r w:rsidRPr="00282178" w:rsidR="00BE2F25">
        <w:rPr>
          <w:lang w:val="en-GB"/>
        </w:rPr>
        <w:t xml:space="preserve">. </w:t>
      </w:r>
      <w:r w:rsidRPr="00282178" w:rsidR="00FE7A74">
        <w:rPr>
          <w:lang w:val="en-GB"/>
        </w:rPr>
        <w:t xml:space="preserve">Over </w:t>
      </w:r>
      <w:r w:rsidRPr="00282178" w:rsidR="00BE2F25">
        <w:rPr>
          <w:lang w:val="en-GB"/>
        </w:rPr>
        <w:t xml:space="preserve">the next </w:t>
      </w:r>
      <w:r w:rsidRPr="00282178" w:rsidR="00FE7A74">
        <w:rPr>
          <w:lang w:val="en-GB"/>
        </w:rPr>
        <w:t xml:space="preserve">few </w:t>
      </w:r>
      <w:r w:rsidRPr="00282178" w:rsidR="00BE2F25">
        <w:rPr>
          <w:lang w:val="en-GB"/>
        </w:rPr>
        <w:t xml:space="preserve">days he had been weak and dizzy and </w:t>
      </w:r>
      <w:r w:rsidRPr="00282178" w:rsidR="00993AA0">
        <w:rPr>
          <w:lang w:val="en-GB"/>
        </w:rPr>
        <w:t xml:space="preserve">had </w:t>
      </w:r>
      <w:r w:rsidRPr="00282178" w:rsidR="00BE2F25">
        <w:rPr>
          <w:lang w:val="en-GB"/>
        </w:rPr>
        <w:t xml:space="preserve">felt heaviness in the back of </w:t>
      </w:r>
      <w:r w:rsidRPr="00282178" w:rsidR="00FE7A74">
        <w:rPr>
          <w:lang w:val="en-GB"/>
        </w:rPr>
        <w:t xml:space="preserve">his </w:t>
      </w:r>
      <w:r w:rsidRPr="00282178" w:rsidR="00BE2F25">
        <w:rPr>
          <w:lang w:val="en-GB"/>
        </w:rPr>
        <w:t xml:space="preserve">head. When </w:t>
      </w:r>
      <w:r w:rsidRPr="00282178" w:rsidR="00993AA0">
        <w:rPr>
          <w:lang w:val="en-GB"/>
        </w:rPr>
        <w:t xml:space="preserve">the police officers </w:t>
      </w:r>
      <w:r w:rsidRPr="00282178" w:rsidR="00BE2F25">
        <w:rPr>
          <w:lang w:val="en-GB"/>
        </w:rPr>
        <w:t>had</w:t>
      </w:r>
      <w:r w:rsidRPr="00282178" w:rsidR="00BF2F22">
        <w:rPr>
          <w:lang w:val="en-GB"/>
        </w:rPr>
        <w:t xml:space="preserve"> tried to throttle</w:t>
      </w:r>
      <w:r w:rsidRPr="00282178" w:rsidR="00993AA0">
        <w:rPr>
          <w:lang w:val="en-GB"/>
        </w:rPr>
        <w:t xml:space="preserve"> him</w:t>
      </w:r>
      <w:r w:rsidRPr="00282178" w:rsidR="00BE2F25">
        <w:rPr>
          <w:lang w:val="en-GB"/>
        </w:rPr>
        <w:t xml:space="preserve"> he had feared for his life. There had been no one to ask for help. </w:t>
      </w:r>
      <w:r w:rsidRPr="00282178" w:rsidR="00A14EF6">
        <w:rPr>
          <w:lang w:val="en-GB"/>
        </w:rPr>
        <w:t xml:space="preserve">The fact that he had suffered harm </w:t>
      </w:r>
      <w:r w:rsidRPr="00282178" w:rsidR="00FE7A74">
        <w:rPr>
          <w:lang w:val="en-GB"/>
        </w:rPr>
        <w:t xml:space="preserve">at the hands of </w:t>
      </w:r>
      <w:r w:rsidRPr="00282178" w:rsidR="00A14EF6">
        <w:rPr>
          <w:lang w:val="en-GB"/>
        </w:rPr>
        <w:t xml:space="preserve">the police, who </w:t>
      </w:r>
      <w:r w:rsidRPr="00282178" w:rsidR="00FE7A74">
        <w:rPr>
          <w:lang w:val="en-GB"/>
        </w:rPr>
        <w:t xml:space="preserve">were supposed </w:t>
      </w:r>
      <w:r w:rsidRPr="00282178" w:rsidR="00A14EF6">
        <w:rPr>
          <w:lang w:val="en-GB"/>
        </w:rPr>
        <w:t xml:space="preserve">to be there to protect people, had been especially traumatic. He had been scared, subdued and depressed. His honour and dignity had been </w:t>
      </w:r>
      <w:r w:rsidRPr="00282178" w:rsidR="00AD5226">
        <w:rPr>
          <w:lang w:val="en-GB"/>
        </w:rPr>
        <w:t>damaged</w:t>
      </w:r>
      <w:r w:rsidRPr="00282178" w:rsidR="00A14EF6">
        <w:rPr>
          <w:lang w:val="en-GB"/>
        </w:rPr>
        <w:t xml:space="preserve">. </w:t>
      </w:r>
      <w:r w:rsidRPr="00282178" w:rsidR="008F6B7C">
        <w:rPr>
          <w:lang w:val="en-GB"/>
        </w:rPr>
        <w:t>In his eyes, b</w:t>
      </w:r>
      <w:r w:rsidRPr="00282178" w:rsidR="00A14EF6">
        <w:rPr>
          <w:lang w:val="en-GB"/>
        </w:rPr>
        <w:t>y forcing him to sign the confession the police officers had humiliated him.</w:t>
      </w:r>
    </w:p>
    <w:p w:rsidRPr="00282178" w:rsidR="002925F1" w:rsidP="00282178" w:rsidRDefault="002925F1">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31</w:t>
      </w:r>
      <w:r w:rsidRPr="00282178">
        <w:rPr>
          <w:lang w:val="en-GB"/>
        </w:rPr>
        <w:fldChar w:fldCharType="end"/>
      </w:r>
      <w:r w:rsidRPr="00282178">
        <w:rPr>
          <w:lang w:val="en-GB"/>
        </w:rPr>
        <w:t>.  Having examined the evidence in its entirety, in particular the medical evidence of the applicant</w:t>
      </w:r>
      <w:r w:rsidRPr="00282178" w:rsidR="00282178">
        <w:rPr>
          <w:lang w:val="en-GB"/>
        </w:rPr>
        <w:t>’</w:t>
      </w:r>
      <w:r w:rsidRPr="00282178">
        <w:rPr>
          <w:lang w:val="en-GB"/>
        </w:rPr>
        <w:t xml:space="preserve">s injuries, the District Court </w:t>
      </w:r>
      <w:r w:rsidRPr="00282178" w:rsidR="00B62728">
        <w:rPr>
          <w:lang w:val="en-GB"/>
        </w:rPr>
        <w:t>found that the applicant</w:t>
      </w:r>
      <w:r w:rsidRPr="00282178" w:rsidR="00282178">
        <w:rPr>
          <w:lang w:val="en-GB"/>
        </w:rPr>
        <w:t>’</w:t>
      </w:r>
      <w:r w:rsidRPr="00282178" w:rsidR="00B62728">
        <w:rPr>
          <w:lang w:val="en-GB"/>
        </w:rPr>
        <w:t>s mental and physical suffering had been caused by the unlawful actions of the police officers of the Sovetskiy district police</w:t>
      </w:r>
      <w:r w:rsidRPr="00282178" w:rsidR="00B31508">
        <w:rPr>
          <w:lang w:val="en-GB"/>
        </w:rPr>
        <w:t xml:space="preserve"> department, in particular by the inhuman and degrading treatment and by inflicting bodily harm. Therefore, his rights under Article 37 of the United Nations Convention on the Rights of the Child and Article 3 of the European Convention on Human Rights had been violated.</w:t>
      </w:r>
    </w:p>
    <w:p w:rsidRPr="00282178" w:rsidR="00DC608A" w:rsidP="00282178" w:rsidRDefault="00993AA0">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32</w:t>
      </w:r>
      <w:r w:rsidRPr="00282178">
        <w:rPr>
          <w:lang w:val="en-GB"/>
        </w:rPr>
        <w:fldChar w:fldCharType="end"/>
      </w:r>
      <w:r w:rsidRPr="00282178">
        <w:rPr>
          <w:lang w:val="en-GB"/>
        </w:rPr>
        <w:t>.  </w:t>
      </w:r>
      <w:r w:rsidRPr="00282178" w:rsidR="00DC608A">
        <w:rPr>
          <w:lang w:val="en-GB"/>
        </w:rPr>
        <w:t xml:space="preserve">Relying on the Russian Constitution, in particular the provisions concerning the right to compensation for damage sustained as a result of the unlawful actions of State organs (Article 53), the District Court </w:t>
      </w:r>
      <w:r w:rsidRPr="00282178" w:rsidR="003D5C11">
        <w:rPr>
          <w:lang w:val="en-GB"/>
        </w:rPr>
        <w:t>held that the State was responsible for the applicant</w:t>
      </w:r>
      <w:r w:rsidRPr="00282178" w:rsidR="00282178">
        <w:rPr>
          <w:lang w:val="en-GB"/>
        </w:rPr>
        <w:t>’</w:t>
      </w:r>
      <w:r w:rsidRPr="00282178" w:rsidR="003D5C11">
        <w:rPr>
          <w:lang w:val="en-GB"/>
        </w:rPr>
        <w:t xml:space="preserve">s </w:t>
      </w:r>
      <w:r w:rsidRPr="00282178" w:rsidR="005D2664">
        <w:rPr>
          <w:lang w:val="en-GB"/>
        </w:rPr>
        <w:t>ill-</w:t>
      </w:r>
      <w:r w:rsidRPr="00282178" w:rsidR="003D5C11">
        <w:rPr>
          <w:lang w:val="en-GB"/>
        </w:rPr>
        <w:t>treatment regardless of the fact that the guilt of specific individuals had so far not been established.</w:t>
      </w:r>
    </w:p>
    <w:p w:rsidRPr="00282178" w:rsidR="00013C9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33</w:t>
      </w:r>
      <w:r w:rsidRPr="00282178">
        <w:rPr>
          <w:lang w:val="en-GB"/>
        </w:rPr>
        <w:fldChar w:fldCharType="end"/>
      </w:r>
      <w:r w:rsidRPr="00282178" w:rsidR="00013C9D">
        <w:rPr>
          <w:lang w:val="en-GB"/>
        </w:rPr>
        <w:t>.  </w:t>
      </w:r>
      <w:r w:rsidRPr="00282178" w:rsidR="00863DCD">
        <w:rPr>
          <w:lang w:val="en-GB"/>
        </w:rPr>
        <w:t xml:space="preserve">The </w:t>
      </w:r>
      <w:r w:rsidRPr="00282178" w:rsidR="00013C9D">
        <w:rPr>
          <w:lang w:val="en-GB"/>
        </w:rPr>
        <w:t>parties</w:t>
      </w:r>
      <w:r w:rsidRPr="00282178" w:rsidR="00863DCD">
        <w:rPr>
          <w:lang w:val="en-GB"/>
        </w:rPr>
        <w:t xml:space="preserve"> appealed against the judgment</w:t>
      </w:r>
      <w:r w:rsidRPr="00282178" w:rsidR="00013C9D">
        <w:rPr>
          <w:lang w:val="en-GB"/>
        </w:rPr>
        <w:t>. The applicant</w:t>
      </w:r>
      <w:r w:rsidRPr="00282178" w:rsidR="00863DCD">
        <w:rPr>
          <w:lang w:val="en-GB"/>
        </w:rPr>
        <w:t xml:space="preserve"> </w:t>
      </w:r>
      <w:r w:rsidRPr="00282178" w:rsidR="00FE13B3">
        <w:rPr>
          <w:lang w:val="en-GB"/>
        </w:rPr>
        <w:t xml:space="preserve">contested </w:t>
      </w:r>
      <w:r w:rsidRPr="00282178" w:rsidR="00863DCD">
        <w:rPr>
          <w:lang w:val="en-GB"/>
        </w:rPr>
        <w:t>the amount of compensation</w:t>
      </w:r>
      <w:r w:rsidRPr="00282178" w:rsidR="00FE13B3">
        <w:rPr>
          <w:lang w:val="en-GB"/>
        </w:rPr>
        <w:t>,</w:t>
      </w:r>
      <w:r w:rsidRPr="00282178" w:rsidR="009A7411">
        <w:rPr>
          <w:lang w:val="en-GB"/>
        </w:rPr>
        <w:t xml:space="preserve"> </w:t>
      </w:r>
      <w:r w:rsidRPr="00282178" w:rsidR="00824711">
        <w:rPr>
          <w:lang w:val="en-GB"/>
        </w:rPr>
        <w:t>consider</w:t>
      </w:r>
      <w:r w:rsidRPr="00282178" w:rsidR="00C16639">
        <w:rPr>
          <w:lang w:val="en-GB"/>
        </w:rPr>
        <w:t>ing it</w:t>
      </w:r>
      <w:r w:rsidRPr="00282178" w:rsidR="00824711">
        <w:rPr>
          <w:lang w:val="en-GB"/>
        </w:rPr>
        <w:t xml:space="preserve"> </w:t>
      </w:r>
      <w:r w:rsidRPr="00282178" w:rsidR="000116B5">
        <w:rPr>
          <w:lang w:val="en-GB"/>
        </w:rPr>
        <w:t xml:space="preserve">to be disproportionate </w:t>
      </w:r>
      <w:r w:rsidRPr="00282178" w:rsidR="009A7411">
        <w:rPr>
          <w:lang w:val="en-GB"/>
        </w:rPr>
        <w:t xml:space="preserve">to </w:t>
      </w:r>
      <w:r w:rsidRPr="00282178" w:rsidR="00BF2F22">
        <w:rPr>
          <w:lang w:val="en-GB"/>
        </w:rPr>
        <w:t xml:space="preserve">the </w:t>
      </w:r>
      <w:r w:rsidRPr="00282178" w:rsidR="009A7411">
        <w:rPr>
          <w:lang w:val="en-GB"/>
        </w:rPr>
        <w:t>suffering</w:t>
      </w:r>
      <w:r w:rsidRPr="00282178" w:rsidR="00BF2F22">
        <w:rPr>
          <w:lang w:val="en-GB"/>
        </w:rPr>
        <w:t xml:space="preserve"> he had endured</w:t>
      </w:r>
      <w:r w:rsidRPr="00282178" w:rsidR="00863DCD">
        <w:rPr>
          <w:lang w:val="en-GB"/>
        </w:rPr>
        <w:t>.</w:t>
      </w:r>
    </w:p>
    <w:p w:rsidRPr="00282178" w:rsidR="000B2BC3"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34</w:t>
      </w:r>
      <w:r w:rsidRPr="00282178">
        <w:rPr>
          <w:lang w:val="en-GB"/>
        </w:rPr>
        <w:fldChar w:fldCharType="end"/>
      </w:r>
      <w:r w:rsidRPr="00282178" w:rsidR="00013C9D">
        <w:rPr>
          <w:lang w:val="en-GB"/>
        </w:rPr>
        <w:t>.  </w:t>
      </w:r>
      <w:r w:rsidRPr="00282178" w:rsidR="00863DCD">
        <w:rPr>
          <w:lang w:val="en-GB"/>
        </w:rPr>
        <w:t xml:space="preserve">On 3 March 2009 the Nizhniy Novgorod Regional Court </w:t>
      </w:r>
      <w:r w:rsidRPr="00282178" w:rsidR="000116B5">
        <w:rPr>
          <w:lang w:val="en-GB"/>
        </w:rPr>
        <w:t xml:space="preserve">dismissed </w:t>
      </w:r>
      <w:r w:rsidRPr="00282178" w:rsidR="002B6111">
        <w:rPr>
          <w:lang w:val="en-GB"/>
        </w:rPr>
        <w:t>the applicant</w:t>
      </w:r>
      <w:r w:rsidRPr="00282178" w:rsidR="00282178">
        <w:rPr>
          <w:lang w:val="en-GB"/>
        </w:rPr>
        <w:t>’</w:t>
      </w:r>
      <w:r w:rsidRPr="00282178" w:rsidR="002B6111">
        <w:rPr>
          <w:lang w:val="en-GB"/>
        </w:rPr>
        <w:t xml:space="preserve">s appeal and </w:t>
      </w:r>
      <w:r w:rsidRPr="00282178" w:rsidR="009D27B9">
        <w:rPr>
          <w:lang w:val="en-GB"/>
        </w:rPr>
        <w:t>upheld the judgment</w:t>
      </w:r>
      <w:r w:rsidRPr="00282178" w:rsidR="00863DCD">
        <w:rPr>
          <w:lang w:val="en-GB"/>
        </w:rPr>
        <w:t>.</w:t>
      </w:r>
      <w:r w:rsidRPr="00282178" w:rsidR="000116B5">
        <w:rPr>
          <w:lang w:val="en-GB"/>
        </w:rPr>
        <w:t xml:space="preserve"> However,</w:t>
      </w:r>
      <w:r w:rsidRPr="00282178" w:rsidR="00013C9D">
        <w:rPr>
          <w:lang w:val="en-GB"/>
        </w:rPr>
        <w:t xml:space="preserve"> </w:t>
      </w:r>
      <w:r w:rsidRPr="00282178" w:rsidR="000116B5">
        <w:rPr>
          <w:lang w:val="en-GB"/>
        </w:rPr>
        <w:t>i</w:t>
      </w:r>
      <w:r w:rsidRPr="00282178" w:rsidR="00013C9D">
        <w:rPr>
          <w:lang w:val="en-GB"/>
        </w:rPr>
        <w:t xml:space="preserve">t </w:t>
      </w:r>
      <w:r w:rsidRPr="00282178" w:rsidR="00993AA0">
        <w:rPr>
          <w:lang w:val="en-GB"/>
        </w:rPr>
        <w:t>emphasised</w:t>
      </w:r>
      <w:r w:rsidRPr="00282178" w:rsidR="00013C9D">
        <w:rPr>
          <w:lang w:val="en-GB"/>
        </w:rPr>
        <w:t xml:space="preserve"> </w:t>
      </w:r>
      <w:r w:rsidRPr="00282178" w:rsidR="000116B5">
        <w:rPr>
          <w:lang w:val="en-GB"/>
        </w:rPr>
        <w:t xml:space="preserve">the fact </w:t>
      </w:r>
      <w:r w:rsidRPr="00282178" w:rsidR="00013C9D">
        <w:rPr>
          <w:lang w:val="en-GB"/>
        </w:rPr>
        <w:t>that</w:t>
      </w:r>
      <w:r w:rsidRPr="00282178" w:rsidR="00E4183C">
        <w:rPr>
          <w:lang w:val="en-GB"/>
        </w:rPr>
        <w:t>,</w:t>
      </w:r>
      <w:r w:rsidRPr="00282178" w:rsidR="00013C9D">
        <w:rPr>
          <w:lang w:val="en-GB"/>
        </w:rPr>
        <w:t xml:space="preserve"> </w:t>
      </w:r>
      <w:r w:rsidRPr="00282178" w:rsidR="00C16639">
        <w:rPr>
          <w:lang w:val="en-GB"/>
        </w:rPr>
        <w:t>being</w:t>
      </w:r>
      <w:r w:rsidRPr="00282178" w:rsidR="00013C9D">
        <w:rPr>
          <w:lang w:val="en-GB"/>
        </w:rPr>
        <w:t xml:space="preserve"> a minor at the time, </w:t>
      </w:r>
      <w:r w:rsidRPr="00282178" w:rsidR="00E4183C">
        <w:rPr>
          <w:lang w:val="en-GB"/>
        </w:rPr>
        <w:t>to be</w:t>
      </w:r>
      <w:r w:rsidRPr="00282178" w:rsidR="00013C9D">
        <w:rPr>
          <w:lang w:val="en-GB"/>
        </w:rPr>
        <w:t xml:space="preserve"> held at the police station for </w:t>
      </w:r>
      <w:r w:rsidRPr="00282178" w:rsidR="00E4183C">
        <w:rPr>
          <w:lang w:val="en-GB"/>
        </w:rPr>
        <w:t xml:space="preserve">approximately ten hours was </w:t>
      </w:r>
      <w:r w:rsidRPr="00282178" w:rsidR="00013C9D">
        <w:rPr>
          <w:lang w:val="en-GB"/>
        </w:rPr>
        <w:t>a</w:t>
      </w:r>
      <w:r w:rsidRPr="00282178" w:rsidR="006D30C6">
        <w:rPr>
          <w:lang w:val="en-GB"/>
        </w:rPr>
        <w:t xml:space="preserve"> </w:t>
      </w:r>
      <w:r w:rsidRPr="00282178" w:rsidR="00013C9D">
        <w:rPr>
          <w:lang w:val="en-GB"/>
        </w:rPr>
        <w:t>long time</w:t>
      </w:r>
      <w:r w:rsidRPr="00282178" w:rsidR="00E4183C">
        <w:rPr>
          <w:lang w:val="en-GB"/>
        </w:rPr>
        <w:t xml:space="preserve">, </w:t>
      </w:r>
      <w:r w:rsidRPr="00282178" w:rsidR="00013C9D">
        <w:rPr>
          <w:lang w:val="en-GB"/>
        </w:rPr>
        <w:t>and that the authorities had been unable to provide any legitimate reasons for his detention.</w:t>
      </w:r>
    </w:p>
    <w:p w:rsidRPr="00282178" w:rsidR="00014566" w:rsidP="00282178" w:rsidRDefault="00014566">
      <w:pPr>
        <w:pStyle w:val="ECHRTitle1"/>
        <w:rPr>
          <w:lang w:val="en-GB"/>
        </w:rPr>
      </w:pPr>
      <w:r w:rsidRPr="00282178">
        <w:rPr>
          <w:lang w:val="en-GB"/>
        </w:rPr>
        <w:t>THE LAW</w:t>
      </w:r>
    </w:p>
    <w:p w:rsidRPr="00282178" w:rsidR="00014566" w:rsidP="00282178" w:rsidRDefault="00014566">
      <w:pPr>
        <w:pStyle w:val="ECHRHeading1"/>
        <w:rPr>
          <w:lang w:val="en-GB"/>
        </w:rPr>
      </w:pPr>
      <w:r w:rsidRPr="00282178">
        <w:rPr>
          <w:lang w:val="en-GB"/>
        </w:rPr>
        <w:t xml:space="preserve">I.  ALLEGED VIOLATION OF ARTICLE </w:t>
      </w:r>
      <w:r w:rsidRPr="00282178" w:rsidR="00863DCD">
        <w:rPr>
          <w:lang w:val="en-GB"/>
        </w:rPr>
        <w:t>3</w:t>
      </w:r>
      <w:r w:rsidRPr="00282178">
        <w:rPr>
          <w:lang w:val="en-GB"/>
        </w:rPr>
        <w:t xml:space="preserve"> OF THE CONVENTION</w:t>
      </w:r>
    </w:p>
    <w:p w:rsidRPr="00282178" w:rsidR="00014566" w:rsidP="00282178" w:rsidRDefault="00B61903">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35</w:t>
      </w:r>
      <w:r w:rsidRPr="00282178">
        <w:rPr>
          <w:lang w:val="en-GB"/>
        </w:rPr>
        <w:fldChar w:fldCharType="end"/>
      </w:r>
      <w:r w:rsidRPr="00282178">
        <w:rPr>
          <w:lang w:val="en-GB"/>
        </w:rPr>
        <w:t>.  </w:t>
      </w:r>
      <w:r w:rsidRPr="00282178" w:rsidR="00014566">
        <w:rPr>
          <w:lang w:val="en-GB"/>
        </w:rPr>
        <w:t xml:space="preserve">The applicant complained </w:t>
      </w:r>
      <w:r w:rsidRPr="00282178" w:rsidR="002B6111">
        <w:rPr>
          <w:lang w:val="en-GB"/>
        </w:rPr>
        <w:t xml:space="preserve">under Article 3 of the Convention </w:t>
      </w:r>
      <w:r w:rsidRPr="00282178" w:rsidR="00014566">
        <w:rPr>
          <w:lang w:val="en-GB"/>
        </w:rPr>
        <w:t xml:space="preserve">that </w:t>
      </w:r>
      <w:r w:rsidRPr="00282178" w:rsidR="00690DB1">
        <w:rPr>
          <w:lang w:val="en-GB"/>
        </w:rPr>
        <w:t xml:space="preserve">police officers </w:t>
      </w:r>
      <w:r w:rsidRPr="00282178" w:rsidR="008E0E47">
        <w:rPr>
          <w:lang w:val="en-GB"/>
        </w:rPr>
        <w:t>had subjected</w:t>
      </w:r>
      <w:r w:rsidRPr="00282178" w:rsidR="00690DB1">
        <w:rPr>
          <w:lang w:val="en-GB"/>
        </w:rPr>
        <w:t xml:space="preserve"> him</w:t>
      </w:r>
      <w:r w:rsidRPr="00282178" w:rsidR="008E0E47">
        <w:rPr>
          <w:lang w:val="en-GB"/>
        </w:rPr>
        <w:t xml:space="preserve"> to torture </w:t>
      </w:r>
      <w:r w:rsidRPr="00282178" w:rsidR="002B6111">
        <w:rPr>
          <w:lang w:val="en-GB"/>
        </w:rPr>
        <w:t xml:space="preserve">in order to </w:t>
      </w:r>
      <w:r w:rsidRPr="00282178" w:rsidR="00C14C64">
        <w:rPr>
          <w:lang w:val="en-GB"/>
        </w:rPr>
        <w:t>force him to confess to a crime</w:t>
      </w:r>
      <w:r w:rsidRPr="00282178" w:rsidR="002B6111">
        <w:rPr>
          <w:lang w:val="en-GB"/>
        </w:rPr>
        <w:t>.</w:t>
      </w:r>
      <w:r w:rsidRPr="00282178" w:rsidR="00C14C64">
        <w:rPr>
          <w:lang w:val="en-GB"/>
        </w:rPr>
        <w:t xml:space="preserve"> </w:t>
      </w:r>
      <w:r w:rsidRPr="00282178" w:rsidR="00C16639">
        <w:rPr>
          <w:lang w:val="en-GB"/>
        </w:rPr>
        <w:t>He</w:t>
      </w:r>
      <w:r w:rsidRPr="00282178" w:rsidR="002B6111">
        <w:rPr>
          <w:lang w:val="en-GB"/>
        </w:rPr>
        <w:t xml:space="preserve"> </w:t>
      </w:r>
      <w:r w:rsidRPr="00282178" w:rsidR="000116B5">
        <w:rPr>
          <w:lang w:val="en-GB"/>
        </w:rPr>
        <w:t xml:space="preserve">argued </w:t>
      </w:r>
      <w:r w:rsidRPr="00282178" w:rsidR="002B6111">
        <w:rPr>
          <w:lang w:val="en-GB"/>
        </w:rPr>
        <w:t xml:space="preserve">that he could still claim to be a victim of </w:t>
      </w:r>
      <w:r w:rsidRPr="00282178" w:rsidR="000116B5">
        <w:rPr>
          <w:lang w:val="en-GB"/>
        </w:rPr>
        <w:t xml:space="preserve">a </w:t>
      </w:r>
      <w:r w:rsidRPr="00282178" w:rsidR="002B6111">
        <w:rPr>
          <w:lang w:val="en-GB"/>
        </w:rPr>
        <w:t>violation of Article 3 because the authorities had failed to carry out an effective investigation</w:t>
      </w:r>
      <w:r w:rsidRPr="00282178" w:rsidR="00C16639">
        <w:rPr>
          <w:lang w:val="en-GB"/>
        </w:rPr>
        <w:t>,</w:t>
      </w:r>
      <w:r w:rsidRPr="00282178" w:rsidR="002B6111">
        <w:rPr>
          <w:lang w:val="en-GB"/>
        </w:rPr>
        <w:t xml:space="preserve"> and the amount of compensation was </w:t>
      </w:r>
      <w:r w:rsidRPr="00282178" w:rsidR="000116B5">
        <w:rPr>
          <w:lang w:val="en-GB"/>
        </w:rPr>
        <w:t xml:space="preserve">disproportionate </w:t>
      </w:r>
      <w:r w:rsidRPr="00282178" w:rsidR="002B6111">
        <w:rPr>
          <w:lang w:val="en-GB"/>
        </w:rPr>
        <w:t xml:space="preserve">to </w:t>
      </w:r>
      <w:r w:rsidRPr="00282178" w:rsidR="006D30C6">
        <w:rPr>
          <w:lang w:val="en-GB"/>
        </w:rPr>
        <w:t xml:space="preserve">the </w:t>
      </w:r>
      <w:r w:rsidRPr="00282178" w:rsidR="002B6111">
        <w:rPr>
          <w:lang w:val="en-GB"/>
        </w:rPr>
        <w:t>suffering</w:t>
      </w:r>
      <w:r w:rsidRPr="00282178" w:rsidR="006D30C6">
        <w:rPr>
          <w:lang w:val="en-GB"/>
        </w:rPr>
        <w:t xml:space="preserve"> he had endured</w:t>
      </w:r>
      <w:r w:rsidRPr="00282178" w:rsidR="00C16639">
        <w:rPr>
          <w:lang w:val="en-GB"/>
        </w:rPr>
        <w:t>.</w:t>
      </w:r>
      <w:r w:rsidRPr="00282178" w:rsidR="002B6111">
        <w:rPr>
          <w:lang w:val="en-GB"/>
        </w:rPr>
        <w:t xml:space="preserve"> </w:t>
      </w:r>
      <w:r w:rsidRPr="00282178" w:rsidR="00014566">
        <w:rPr>
          <w:lang w:val="en-GB"/>
        </w:rPr>
        <w:t xml:space="preserve">Article </w:t>
      </w:r>
      <w:r w:rsidRPr="00282178" w:rsidR="008E0E47">
        <w:rPr>
          <w:lang w:val="en-GB"/>
        </w:rPr>
        <w:t>3</w:t>
      </w:r>
      <w:r w:rsidRPr="00282178" w:rsidR="002B6111">
        <w:rPr>
          <w:lang w:val="en-GB"/>
        </w:rPr>
        <w:t xml:space="preserve"> of the Convention</w:t>
      </w:r>
      <w:r w:rsidRPr="00282178" w:rsidR="00014566">
        <w:rPr>
          <w:lang w:val="en-GB"/>
        </w:rPr>
        <w:t xml:space="preserve"> reads as follows:</w:t>
      </w:r>
    </w:p>
    <w:p w:rsidRPr="00282178" w:rsidR="00014566" w:rsidP="00282178" w:rsidRDefault="008E0E47">
      <w:pPr>
        <w:pStyle w:val="ECHRParaQuote"/>
        <w:rPr>
          <w:lang w:val="en-GB"/>
        </w:rPr>
      </w:pPr>
      <w:r w:rsidRPr="00282178">
        <w:rPr>
          <w:lang w:val="en-GB"/>
        </w:rPr>
        <w:t>“No one shall be subjected to torture or to inhuman or degrading treatment or punishment.”</w:t>
      </w:r>
    </w:p>
    <w:p w:rsidRPr="00282178" w:rsidR="00D56EA8" w:rsidP="00282178" w:rsidRDefault="00D56EA8">
      <w:pPr>
        <w:pStyle w:val="ECHRHeading2"/>
        <w:rPr>
          <w:lang w:val="en-GB"/>
        </w:rPr>
      </w:pPr>
      <w:r w:rsidRPr="00282178">
        <w:rPr>
          <w:lang w:val="en-GB"/>
        </w:rPr>
        <w:t>A.  The parties</w:t>
      </w:r>
      <w:r w:rsidRPr="00282178" w:rsidR="00282178">
        <w:rPr>
          <w:lang w:val="en-GB"/>
        </w:rPr>
        <w:t>’</w:t>
      </w:r>
      <w:r w:rsidRPr="00282178">
        <w:rPr>
          <w:lang w:val="en-GB"/>
        </w:rPr>
        <w:t xml:space="preserve"> submissions</w:t>
      </w:r>
    </w:p>
    <w:p w:rsidRPr="00282178" w:rsidR="00D56EA8" w:rsidP="00282178" w:rsidRDefault="00D56EA8">
      <w:pPr>
        <w:pStyle w:val="ECHRHeading3"/>
        <w:rPr>
          <w:lang w:val="en-GB"/>
        </w:rPr>
      </w:pPr>
      <w:r w:rsidRPr="00282178">
        <w:rPr>
          <w:lang w:val="en-GB"/>
        </w:rPr>
        <w:t>1.  The Government</w:t>
      </w:r>
    </w:p>
    <w:p w:rsidRPr="00282178" w:rsidR="007B7FAF"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36</w:t>
      </w:r>
      <w:r w:rsidRPr="00282178">
        <w:rPr>
          <w:lang w:val="en-GB"/>
        </w:rPr>
        <w:fldChar w:fldCharType="end"/>
      </w:r>
      <w:r w:rsidRPr="00282178" w:rsidR="0081668E">
        <w:rPr>
          <w:lang w:val="en-GB"/>
        </w:rPr>
        <w:t>.  The Government stated that the evidence obtained during the investigation into the applicant</w:t>
      </w:r>
      <w:r w:rsidRPr="00282178" w:rsidR="00282178">
        <w:rPr>
          <w:lang w:val="en-GB"/>
        </w:rPr>
        <w:t>’</w:t>
      </w:r>
      <w:r w:rsidRPr="00282178" w:rsidR="0081668E">
        <w:rPr>
          <w:lang w:val="en-GB"/>
        </w:rPr>
        <w:t xml:space="preserve">s complaint </w:t>
      </w:r>
      <w:r w:rsidRPr="00282178" w:rsidR="005820DB">
        <w:rPr>
          <w:lang w:val="en-GB"/>
        </w:rPr>
        <w:t>reliably established that on 24 </w:t>
      </w:r>
      <w:r w:rsidRPr="00282178" w:rsidR="0081668E">
        <w:rPr>
          <w:lang w:val="en-GB"/>
        </w:rPr>
        <w:t xml:space="preserve">May 2004 the applicant had been brought to the Sovetskiy district police </w:t>
      </w:r>
      <w:r w:rsidRPr="00282178" w:rsidR="006D30C6">
        <w:rPr>
          <w:lang w:val="en-GB"/>
        </w:rPr>
        <w:t>station in</w:t>
      </w:r>
      <w:r w:rsidRPr="00282178" w:rsidR="0081668E">
        <w:rPr>
          <w:lang w:val="en-GB"/>
        </w:rPr>
        <w:t xml:space="preserve"> Nizhniy Novgorod</w:t>
      </w:r>
      <w:r w:rsidRPr="00282178" w:rsidR="00C16639">
        <w:rPr>
          <w:lang w:val="en-GB"/>
        </w:rPr>
        <w:t xml:space="preserve"> and</w:t>
      </w:r>
      <w:r w:rsidRPr="00282178" w:rsidR="0081668E">
        <w:rPr>
          <w:lang w:val="en-GB"/>
        </w:rPr>
        <w:t xml:space="preserve"> subjected to violence by police officers. The criminal proceedings had been initiated belatedly and the </w:t>
      </w:r>
      <w:r w:rsidRPr="00282178" w:rsidR="00996548">
        <w:rPr>
          <w:lang w:val="en-GB"/>
        </w:rPr>
        <w:t xml:space="preserve">identity of the individuals </w:t>
      </w:r>
      <w:r w:rsidRPr="00282178" w:rsidR="0081668E">
        <w:rPr>
          <w:lang w:val="en-GB"/>
        </w:rPr>
        <w:t xml:space="preserve">to be charged </w:t>
      </w:r>
      <w:r w:rsidRPr="00282178" w:rsidR="007B7FAF">
        <w:rPr>
          <w:lang w:val="en-GB"/>
        </w:rPr>
        <w:t>with the applicant</w:t>
      </w:r>
      <w:r w:rsidRPr="00282178" w:rsidR="00282178">
        <w:rPr>
          <w:lang w:val="en-GB"/>
        </w:rPr>
        <w:t>’</w:t>
      </w:r>
      <w:r w:rsidRPr="00282178" w:rsidR="007B7FAF">
        <w:rPr>
          <w:lang w:val="en-GB"/>
        </w:rPr>
        <w:t xml:space="preserve">s ill-treatment </w:t>
      </w:r>
      <w:r w:rsidRPr="00282178" w:rsidR="0081668E">
        <w:rPr>
          <w:lang w:val="en-GB"/>
        </w:rPr>
        <w:t xml:space="preserve">had </w:t>
      </w:r>
      <w:r w:rsidRPr="00282178" w:rsidR="004D00D3">
        <w:rPr>
          <w:lang w:val="en-GB"/>
        </w:rPr>
        <w:t>not</w:t>
      </w:r>
      <w:r w:rsidRPr="00282178" w:rsidR="0081668E">
        <w:rPr>
          <w:lang w:val="en-GB"/>
        </w:rPr>
        <w:t xml:space="preserve"> been established. </w:t>
      </w:r>
      <w:r w:rsidRPr="00282178" w:rsidR="007B7FAF">
        <w:rPr>
          <w:lang w:val="en-GB"/>
        </w:rPr>
        <w:t xml:space="preserve">The Government </w:t>
      </w:r>
      <w:r w:rsidRPr="00282178" w:rsidR="0081668E">
        <w:rPr>
          <w:lang w:val="en-GB"/>
        </w:rPr>
        <w:t xml:space="preserve">acknowledged </w:t>
      </w:r>
      <w:r w:rsidRPr="00282178" w:rsidR="007B7FAF">
        <w:rPr>
          <w:lang w:val="en-GB"/>
        </w:rPr>
        <w:t xml:space="preserve">with regret </w:t>
      </w:r>
      <w:r w:rsidRPr="00282178" w:rsidR="0081668E">
        <w:rPr>
          <w:lang w:val="en-GB"/>
        </w:rPr>
        <w:t>that the State had failed to carry out an effective investigation into the applicant</w:t>
      </w:r>
      <w:r w:rsidRPr="00282178" w:rsidR="00282178">
        <w:rPr>
          <w:lang w:val="en-GB"/>
        </w:rPr>
        <w:t>’</w:t>
      </w:r>
      <w:r w:rsidRPr="00282178" w:rsidR="0081668E">
        <w:rPr>
          <w:lang w:val="en-GB"/>
        </w:rPr>
        <w:t xml:space="preserve">s </w:t>
      </w:r>
      <w:r w:rsidRPr="00282178" w:rsidR="007B7FAF">
        <w:rPr>
          <w:lang w:val="en-GB"/>
        </w:rPr>
        <w:t>complaint</w:t>
      </w:r>
      <w:r w:rsidRPr="00282178" w:rsidR="0081668E">
        <w:rPr>
          <w:lang w:val="en-GB"/>
        </w:rPr>
        <w:t>.</w:t>
      </w:r>
    </w:p>
    <w:p w:rsidRPr="00282178" w:rsidR="0081668E"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37</w:t>
      </w:r>
      <w:r w:rsidRPr="00282178">
        <w:rPr>
          <w:lang w:val="en-GB"/>
        </w:rPr>
        <w:fldChar w:fldCharType="end"/>
      </w:r>
      <w:r w:rsidRPr="00282178" w:rsidR="00844562">
        <w:rPr>
          <w:lang w:val="en-GB"/>
        </w:rPr>
        <w:t>.  </w:t>
      </w:r>
      <w:r w:rsidRPr="00282178" w:rsidR="0081668E">
        <w:rPr>
          <w:lang w:val="en-GB"/>
        </w:rPr>
        <w:t>The</w:t>
      </w:r>
      <w:r w:rsidRPr="00282178" w:rsidR="00844562">
        <w:rPr>
          <w:lang w:val="en-GB"/>
        </w:rPr>
        <w:t xml:space="preserve"> Government </w:t>
      </w:r>
      <w:r w:rsidRPr="00282178" w:rsidR="00996548">
        <w:rPr>
          <w:lang w:val="en-GB"/>
        </w:rPr>
        <w:t xml:space="preserve">also </w:t>
      </w:r>
      <w:r w:rsidRPr="00282178" w:rsidR="00844562">
        <w:rPr>
          <w:lang w:val="en-GB"/>
        </w:rPr>
        <w:t xml:space="preserve">noted that in the civil proceedings against the State </w:t>
      </w:r>
      <w:r w:rsidRPr="00282178" w:rsidR="0081668E">
        <w:rPr>
          <w:lang w:val="en-GB"/>
        </w:rPr>
        <w:t>the domestic courts</w:t>
      </w:r>
      <w:r w:rsidRPr="00282178" w:rsidR="00844562">
        <w:rPr>
          <w:lang w:val="en-GB"/>
        </w:rPr>
        <w:t xml:space="preserve"> had found for the applicant, establishing </w:t>
      </w:r>
      <w:r w:rsidRPr="00282178" w:rsidR="0081668E">
        <w:rPr>
          <w:lang w:val="en-GB"/>
        </w:rPr>
        <w:t xml:space="preserve">that the </w:t>
      </w:r>
      <w:r w:rsidRPr="00282178" w:rsidR="00996548">
        <w:rPr>
          <w:lang w:val="en-GB"/>
        </w:rPr>
        <w:t xml:space="preserve">police </w:t>
      </w:r>
      <w:r w:rsidRPr="00282178" w:rsidR="0081668E">
        <w:rPr>
          <w:lang w:val="en-GB"/>
        </w:rPr>
        <w:t>officers of the Sovetskiy district police had infli</w:t>
      </w:r>
      <w:r w:rsidRPr="00282178" w:rsidR="00844562">
        <w:rPr>
          <w:lang w:val="en-GB"/>
        </w:rPr>
        <w:t xml:space="preserve">cted injuries on </w:t>
      </w:r>
      <w:r w:rsidRPr="00282178" w:rsidR="000346C4">
        <w:rPr>
          <w:lang w:val="en-GB"/>
        </w:rPr>
        <w:t>him</w:t>
      </w:r>
      <w:r w:rsidRPr="00282178" w:rsidR="00844562">
        <w:rPr>
          <w:lang w:val="en-GB"/>
        </w:rPr>
        <w:t xml:space="preserve">, and partially </w:t>
      </w:r>
      <w:r w:rsidRPr="00282178" w:rsidR="00996548">
        <w:rPr>
          <w:lang w:val="en-GB"/>
        </w:rPr>
        <w:t>allow</w:t>
      </w:r>
      <w:r w:rsidRPr="00282178" w:rsidR="001250F7">
        <w:rPr>
          <w:lang w:val="en-GB"/>
        </w:rPr>
        <w:t>ing</w:t>
      </w:r>
      <w:r w:rsidRPr="00282178" w:rsidR="00996548">
        <w:rPr>
          <w:lang w:val="en-GB"/>
        </w:rPr>
        <w:t xml:space="preserve"> </w:t>
      </w:r>
      <w:r w:rsidRPr="00282178" w:rsidR="004D00D3">
        <w:rPr>
          <w:lang w:val="en-GB"/>
        </w:rPr>
        <w:t>his claim for compensation</w:t>
      </w:r>
      <w:r w:rsidRPr="00282178" w:rsidR="000346C4">
        <w:rPr>
          <w:lang w:val="en-GB"/>
        </w:rPr>
        <w:t>. The Government argued that the authorities had therefore fully restored the applicant</w:t>
      </w:r>
      <w:r w:rsidRPr="00282178" w:rsidR="00282178">
        <w:rPr>
          <w:lang w:val="en-GB"/>
        </w:rPr>
        <w:t>’</w:t>
      </w:r>
      <w:r w:rsidRPr="00282178" w:rsidR="000346C4">
        <w:rPr>
          <w:lang w:val="en-GB"/>
        </w:rPr>
        <w:t>s rights. In view of the acknowledgment of a violation of the applicant</w:t>
      </w:r>
      <w:r w:rsidRPr="00282178" w:rsidR="00282178">
        <w:rPr>
          <w:lang w:val="en-GB"/>
        </w:rPr>
        <w:t>’</w:t>
      </w:r>
      <w:r w:rsidRPr="00282178" w:rsidR="000346C4">
        <w:rPr>
          <w:lang w:val="en-GB"/>
        </w:rPr>
        <w:t>s rights and the compensation awarded to him, he could no longer claim to be a victim of a violation of Article 3</w:t>
      </w:r>
      <w:r w:rsidRPr="00282178" w:rsidR="00BF2E23">
        <w:rPr>
          <w:lang w:val="en-GB"/>
        </w:rPr>
        <w:t xml:space="preserve"> of the Convention</w:t>
      </w:r>
      <w:r w:rsidRPr="00282178" w:rsidR="000346C4">
        <w:rPr>
          <w:lang w:val="en-GB"/>
        </w:rPr>
        <w:t>.</w:t>
      </w:r>
    </w:p>
    <w:p w:rsidRPr="00282178" w:rsidR="00D56EA8" w:rsidP="00282178" w:rsidRDefault="00D56EA8">
      <w:pPr>
        <w:pStyle w:val="ECHRHeading3"/>
        <w:rPr>
          <w:lang w:val="en-GB"/>
        </w:rPr>
      </w:pPr>
      <w:r w:rsidRPr="00282178">
        <w:rPr>
          <w:lang w:val="en-GB"/>
        </w:rPr>
        <w:t>2.  The applicant</w:t>
      </w:r>
    </w:p>
    <w:p w:rsidRPr="00282178" w:rsidR="00D56EA8"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38</w:t>
      </w:r>
      <w:r w:rsidRPr="00282178">
        <w:rPr>
          <w:lang w:val="en-GB"/>
        </w:rPr>
        <w:fldChar w:fldCharType="end"/>
      </w:r>
      <w:r w:rsidRPr="00282178" w:rsidR="00D56EA8">
        <w:rPr>
          <w:lang w:val="en-GB"/>
        </w:rPr>
        <w:t>.  </w:t>
      </w:r>
      <w:r w:rsidRPr="00282178" w:rsidR="002B6111">
        <w:rPr>
          <w:lang w:val="en-GB"/>
        </w:rPr>
        <w:t>The applicant maintained his complaints</w:t>
      </w:r>
      <w:r w:rsidRPr="00282178" w:rsidR="0057061A">
        <w:rPr>
          <w:lang w:val="en-GB"/>
        </w:rPr>
        <w:t>.</w:t>
      </w:r>
    </w:p>
    <w:p w:rsidRPr="00282178" w:rsidR="00D56EA8" w:rsidP="00282178" w:rsidRDefault="00D56EA8">
      <w:pPr>
        <w:pStyle w:val="ECHRHeading3"/>
        <w:rPr>
          <w:lang w:val="en-GB"/>
        </w:rPr>
      </w:pPr>
      <w:r w:rsidRPr="00282178">
        <w:rPr>
          <w:lang w:val="en-GB"/>
        </w:rPr>
        <w:t>3.  </w:t>
      </w:r>
      <w:r w:rsidRPr="00282178" w:rsidR="00BC5528">
        <w:rPr>
          <w:lang w:val="en-GB"/>
        </w:rPr>
        <w:t>The third-party intervener</w:t>
      </w:r>
    </w:p>
    <w:p w:rsidRPr="00282178" w:rsidR="00EA7713"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39</w:t>
      </w:r>
      <w:r w:rsidRPr="00282178">
        <w:rPr>
          <w:lang w:val="en-GB"/>
        </w:rPr>
        <w:fldChar w:fldCharType="end"/>
      </w:r>
      <w:r w:rsidRPr="00282178" w:rsidR="00EA7713">
        <w:rPr>
          <w:lang w:val="en-GB"/>
        </w:rPr>
        <w:t>.  </w:t>
      </w:r>
      <w:r w:rsidRPr="00282178" w:rsidR="003B7852">
        <w:rPr>
          <w:lang w:val="en-GB"/>
        </w:rPr>
        <w:t xml:space="preserve">Referring to international legal standards and international and </w:t>
      </w:r>
      <w:r w:rsidRPr="00282178" w:rsidR="00FF2716">
        <w:rPr>
          <w:lang w:val="en-GB"/>
        </w:rPr>
        <w:t xml:space="preserve">domestic </w:t>
      </w:r>
      <w:r w:rsidRPr="00282178" w:rsidR="00742AEA">
        <w:rPr>
          <w:lang w:val="en-GB"/>
        </w:rPr>
        <w:t>case-law</w:t>
      </w:r>
      <w:r w:rsidRPr="00282178" w:rsidR="003B7852">
        <w:rPr>
          <w:lang w:val="en-GB"/>
        </w:rPr>
        <w:t>, t</w:t>
      </w:r>
      <w:r w:rsidRPr="00282178" w:rsidR="00227236">
        <w:rPr>
          <w:lang w:val="en-GB"/>
        </w:rPr>
        <w:t xml:space="preserve">he </w:t>
      </w:r>
      <w:r w:rsidRPr="00282178" w:rsidR="00FF2716">
        <w:rPr>
          <w:lang w:val="en-GB"/>
        </w:rPr>
        <w:t xml:space="preserve">human rights organisation </w:t>
      </w:r>
      <w:r w:rsidRPr="00282178" w:rsidR="00227236">
        <w:rPr>
          <w:lang w:val="en-GB"/>
        </w:rPr>
        <w:t xml:space="preserve">Redress </w:t>
      </w:r>
      <w:r w:rsidRPr="00282178" w:rsidR="003B7852">
        <w:rPr>
          <w:lang w:val="en-GB"/>
        </w:rPr>
        <w:t>stressed that it was important that all forms of complicity or participation in torture, be it perpetration</w:t>
      </w:r>
      <w:r w:rsidRPr="00282178" w:rsidR="00F937F2">
        <w:rPr>
          <w:lang w:val="en-GB"/>
        </w:rPr>
        <w:t>, ordering,</w:t>
      </w:r>
      <w:r w:rsidRPr="00282178" w:rsidR="003B7852">
        <w:rPr>
          <w:lang w:val="en-GB"/>
        </w:rPr>
        <w:t xml:space="preserve"> </w:t>
      </w:r>
      <w:r w:rsidRPr="00282178" w:rsidR="00F937F2">
        <w:rPr>
          <w:lang w:val="en-GB"/>
        </w:rPr>
        <w:t xml:space="preserve">encouraging, tolerating </w:t>
      </w:r>
      <w:r w:rsidRPr="00282178" w:rsidR="003B7852">
        <w:rPr>
          <w:lang w:val="en-GB"/>
        </w:rPr>
        <w:t xml:space="preserve">or </w:t>
      </w:r>
      <w:r w:rsidRPr="00282178" w:rsidR="00F937F2">
        <w:rPr>
          <w:lang w:val="en-GB"/>
        </w:rPr>
        <w:t>aiding and abetting, even by one</w:t>
      </w:r>
      <w:r w:rsidRPr="00282178" w:rsidR="00282178">
        <w:rPr>
          <w:lang w:val="en-GB"/>
        </w:rPr>
        <w:t>’</w:t>
      </w:r>
      <w:r w:rsidRPr="00282178" w:rsidR="00F937F2">
        <w:rPr>
          <w:lang w:val="en-GB"/>
        </w:rPr>
        <w:t>s mere presence in certain circumstances</w:t>
      </w:r>
      <w:r w:rsidRPr="00282178" w:rsidR="003B7852">
        <w:rPr>
          <w:lang w:val="en-GB"/>
        </w:rPr>
        <w:t>, were punishable.</w:t>
      </w:r>
      <w:r w:rsidRPr="00282178" w:rsidR="00F937F2">
        <w:rPr>
          <w:lang w:val="en-GB"/>
        </w:rPr>
        <w:t xml:space="preserve"> It submitted that a criminal investigation into injuries caused to an individual while in police custody should start from the premise that </w:t>
      </w:r>
      <w:r w:rsidRPr="00282178" w:rsidR="00EF13F0">
        <w:rPr>
          <w:lang w:val="en-GB"/>
        </w:rPr>
        <w:t xml:space="preserve">the </w:t>
      </w:r>
      <w:r w:rsidRPr="00282178" w:rsidR="00F937F2">
        <w:rPr>
          <w:lang w:val="en-GB"/>
        </w:rPr>
        <w:t xml:space="preserve">police officers </w:t>
      </w:r>
      <w:r w:rsidRPr="00282178" w:rsidR="006D30C6">
        <w:rPr>
          <w:lang w:val="en-GB"/>
        </w:rPr>
        <w:t>there</w:t>
      </w:r>
      <w:r w:rsidRPr="00282178" w:rsidR="00F937F2">
        <w:rPr>
          <w:lang w:val="en-GB"/>
        </w:rPr>
        <w:t>with the individual at the relevant time may be responsible for committing or complicity or participation</w:t>
      </w:r>
      <w:r w:rsidRPr="00282178" w:rsidR="003F6937">
        <w:rPr>
          <w:lang w:val="en-GB"/>
        </w:rPr>
        <w:t xml:space="preserve"> in torture or ill-treatment. </w:t>
      </w:r>
      <w:r w:rsidRPr="00282178" w:rsidR="00EA7713">
        <w:rPr>
          <w:lang w:val="en-GB"/>
        </w:rPr>
        <w:t xml:space="preserve">Redress further pointed out that the guiding principle in assessing </w:t>
      </w:r>
      <w:r w:rsidRPr="00282178" w:rsidR="00EF13F0">
        <w:rPr>
          <w:lang w:val="en-GB"/>
        </w:rPr>
        <w:t>whether</w:t>
      </w:r>
      <w:r w:rsidRPr="00282178" w:rsidR="00EA7713">
        <w:rPr>
          <w:lang w:val="en-GB"/>
        </w:rPr>
        <w:t xml:space="preserve"> compensation awarded by domestic courts </w:t>
      </w:r>
      <w:r w:rsidRPr="00282178" w:rsidR="00EF13F0">
        <w:rPr>
          <w:lang w:val="en-GB"/>
        </w:rPr>
        <w:t xml:space="preserve">is </w:t>
      </w:r>
      <w:r w:rsidRPr="00282178" w:rsidR="006D30C6">
        <w:rPr>
          <w:lang w:val="en-GB"/>
        </w:rPr>
        <w:t xml:space="preserve">adequate </w:t>
      </w:r>
      <w:r w:rsidRPr="00282178" w:rsidR="00EA7713">
        <w:rPr>
          <w:lang w:val="en-GB"/>
        </w:rPr>
        <w:t xml:space="preserve">was that </w:t>
      </w:r>
      <w:r w:rsidRPr="00282178" w:rsidR="00EF13F0">
        <w:rPr>
          <w:lang w:val="en-GB"/>
        </w:rPr>
        <w:t>it</w:t>
      </w:r>
      <w:r w:rsidRPr="00282178" w:rsidR="00EA7713">
        <w:rPr>
          <w:lang w:val="en-GB"/>
        </w:rPr>
        <w:t xml:space="preserve"> should reflect the </w:t>
      </w:r>
      <w:r w:rsidRPr="00282178" w:rsidR="00EF13F0">
        <w:rPr>
          <w:lang w:val="en-GB"/>
        </w:rPr>
        <w:t xml:space="preserve">seriousness </w:t>
      </w:r>
      <w:r w:rsidRPr="00282178" w:rsidR="00EA7713">
        <w:rPr>
          <w:lang w:val="en-GB"/>
        </w:rPr>
        <w:t>of the violation and the harm suffered by the victim.</w:t>
      </w:r>
    </w:p>
    <w:p w:rsidRPr="00282178" w:rsidR="00A440A3" w:rsidP="00282178" w:rsidRDefault="00D56EA8">
      <w:pPr>
        <w:pStyle w:val="ECHRHeading2"/>
        <w:rPr>
          <w:lang w:val="en-GB"/>
        </w:rPr>
      </w:pPr>
      <w:r w:rsidRPr="00282178">
        <w:rPr>
          <w:lang w:val="en-GB"/>
        </w:rPr>
        <w:t>B</w:t>
      </w:r>
      <w:r w:rsidRPr="00282178" w:rsidR="00014566">
        <w:rPr>
          <w:lang w:val="en-GB"/>
        </w:rPr>
        <w:t>.  </w:t>
      </w:r>
      <w:r w:rsidRPr="00282178" w:rsidR="00BC5528">
        <w:rPr>
          <w:lang w:val="en-GB"/>
        </w:rPr>
        <w:t>The Court</w:t>
      </w:r>
      <w:r w:rsidRPr="00282178" w:rsidR="00282178">
        <w:rPr>
          <w:lang w:val="en-GB"/>
        </w:rPr>
        <w:t>’</w:t>
      </w:r>
      <w:r w:rsidRPr="00282178" w:rsidR="00BC5528">
        <w:rPr>
          <w:lang w:val="en-GB"/>
        </w:rPr>
        <w:t>s assessment</w:t>
      </w:r>
    </w:p>
    <w:p w:rsidRPr="00282178" w:rsidR="00014566" w:rsidP="00282178" w:rsidRDefault="004D00D3">
      <w:pPr>
        <w:pStyle w:val="ECHRHeading3"/>
        <w:rPr>
          <w:lang w:val="en-GB"/>
        </w:rPr>
      </w:pPr>
      <w:r w:rsidRPr="00282178">
        <w:rPr>
          <w:lang w:val="en-GB"/>
        </w:rPr>
        <w:t>1.  </w:t>
      </w:r>
      <w:r w:rsidRPr="00282178" w:rsidR="00014566">
        <w:rPr>
          <w:lang w:val="en-GB"/>
        </w:rPr>
        <w:t>Admissibility</w:t>
      </w:r>
    </w:p>
    <w:p w:rsidRPr="00282178" w:rsidR="00045DF6"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40</w:t>
      </w:r>
      <w:r w:rsidRPr="00282178">
        <w:rPr>
          <w:lang w:val="en-GB"/>
        </w:rPr>
        <w:fldChar w:fldCharType="end"/>
      </w:r>
      <w:r w:rsidRPr="00282178" w:rsidR="00F3010B">
        <w:rPr>
          <w:lang w:val="en-GB"/>
        </w:rPr>
        <w:t>.  </w:t>
      </w:r>
      <w:r w:rsidRPr="00282178" w:rsidR="00045DF6">
        <w:rPr>
          <w:lang w:val="en-GB"/>
        </w:rPr>
        <w:t xml:space="preserve">The question </w:t>
      </w:r>
      <w:r w:rsidRPr="00282178" w:rsidR="00B21C14">
        <w:rPr>
          <w:lang w:val="en-GB"/>
        </w:rPr>
        <w:t xml:space="preserve">of </w:t>
      </w:r>
      <w:r w:rsidRPr="00282178" w:rsidR="00045DF6">
        <w:rPr>
          <w:lang w:val="en-GB"/>
        </w:rPr>
        <w:t>whether the applicant may still claim to be a victim of a violation of Article 3 of the Convention in respect of his alleged ill</w:t>
      </w:r>
      <w:r w:rsidRPr="00282178" w:rsidR="00045DF6">
        <w:rPr>
          <w:lang w:val="en-GB"/>
        </w:rPr>
        <w:noBreakHyphen/>
        <w:t xml:space="preserve">treatment is closely linked to the merits of </w:t>
      </w:r>
      <w:r w:rsidRPr="00282178" w:rsidR="00B21C14">
        <w:rPr>
          <w:lang w:val="en-GB"/>
        </w:rPr>
        <w:t>his</w:t>
      </w:r>
      <w:r w:rsidRPr="00282178" w:rsidR="00045DF6">
        <w:rPr>
          <w:lang w:val="en-GB"/>
        </w:rPr>
        <w:t xml:space="preserve"> complaints under </w:t>
      </w:r>
      <w:r w:rsidRPr="00282178" w:rsidR="002D0379">
        <w:rPr>
          <w:lang w:val="en-GB"/>
        </w:rPr>
        <w:t>that provision</w:t>
      </w:r>
      <w:r w:rsidRPr="00282178" w:rsidR="00045DF6">
        <w:rPr>
          <w:lang w:val="en-GB"/>
        </w:rPr>
        <w:t>. The Court therefore decides to join this matter to the merits.</w:t>
      </w:r>
    </w:p>
    <w:bookmarkStart w:name="victimstatus" w:id="2"/>
    <w:bookmarkEnd w:id="2"/>
    <w:p w:rsidRPr="00282178" w:rsidR="007F35A9" w:rsidP="00282178" w:rsidRDefault="0050135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41</w:t>
      </w:r>
      <w:r w:rsidRPr="00282178">
        <w:rPr>
          <w:lang w:val="en-GB"/>
        </w:rPr>
        <w:fldChar w:fldCharType="end"/>
      </w:r>
      <w:r w:rsidRPr="00282178">
        <w:rPr>
          <w:lang w:val="en-GB"/>
        </w:rPr>
        <w:t>.  </w:t>
      </w:r>
      <w:r w:rsidRPr="00282178" w:rsidR="007F35A9">
        <w:rPr>
          <w:lang w:val="en-GB"/>
        </w:rPr>
        <w:t xml:space="preserve">The Court </w:t>
      </w:r>
      <w:r w:rsidRPr="00282178" w:rsidR="00B21C14">
        <w:rPr>
          <w:lang w:val="en-GB"/>
        </w:rPr>
        <w:t xml:space="preserve">also </w:t>
      </w:r>
      <w:r w:rsidRPr="00282178" w:rsidR="007F35A9">
        <w:rPr>
          <w:lang w:val="en-GB"/>
        </w:rPr>
        <w:t>notes that this complaint is not manifestly ill</w:t>
      </w:r>
      <w:r w:rsidRPr="00282178" w:rsidR="007F35A9">
        <w:rPr>
          <w:lang w:val="en-GB"/>
        </w:rPr>
        <w:noBreakHyphen/>
        <w:t>founded within the meaning of Article 35 § 3 (a) of the Convention and that it is not inadmissible on any other grounds. It must therefore be declared admissible.</w:t>
      </w:r>
    </w:p>
    <w:p w:rsidRPr="00282178" w:rsidR="00014566" w:rsidP="00282178" w:rsidRDefault="00DF6DAB">
      <w:pPr>
        <w:pStyle w:val="ECHRHeading3"/>
        <w:rPr>
          <w:lang w:val="en-GB"/>
        </w:rPr>
      </w:pPr>
      <w:r w:rsidRPr="00282178">
        <w:rPr>
          <w:lang w:val="en-GB"/>
        </w:rPr>
        <w:t>2</w:t>
      </w:r>
      <w:r w:rsidRPr="00282178" w:rsidR="00014566">
        <w:rPr>
          <w:lang w:val="en-GB"/>
        </w:rPr>
        <w:t>.  Merits</w:t>
      </w:r>
    </w:p>
    <w:p w:rsidRPr="00282178" w:rsidR="00C7200E" w:rsidP="00282178" w:rsidRDefault="00E31EB3">
      <w:pPr>
        <w:pStyle w:val="ECHRHeading4"/>
        <w:rPr>
          <w:lang w:val="en-GB"/>
        </w:rPr>
      </w:pPr>
      <w:r w:rsidRPr="00282178">
        <w:rPr>
          <w:lang w:val="en-GB"/>
        </w:rPr>
        <w:t>(</w:t>
      </w:r>
      <w:r w:rsidRPr="00282178" w:rsidR="00DF6DAB">
        <w:rPr>
          <w:lang w:val="en-GB"/>
        </w:rPr>
        <w:t>a)</w:t>
      </w:r>
      <w:r w:rsidRPr="00282178" w:rsidR="00C7200E">
        <w:rPr>
          <w:lang w:val="en-GB"/>
        </w:rPr>
        <w:t>  </w:t>
      </w:r>
      <w:r w:rsidRPr="00282178" w:rsidR="009C2BB5">
        <w:rPr>
          <w:lang w:val="en-GB"/>
        </w:rPr>
        <w:t xml:space="preserve">Whether </w:t>
      </w:r>
      <w:r w:rsidRPr="00282178" w:rsidR="00C7200E">
        <w:rPr>
          <w:lang w:val="en-GB"/>
        </w:rPr>
        <w:t xml:space="preserve">the applicant </w:t>
      </w:r>
      <w:r w:rsidRPr="00282178" w:rsidR="009C2BB5">
        <w:rPr>
          <w:lang w:val="en-GB"/>
        </w:rPr>
        <w:t xml:space="preserve">was </w:t>
      </w:r>
      <w:r w:rsidRPr="00282178" w:rsidR="00C7200E">
        <w:rPr>
          <w:lang w:val="en-GB"/>
        </w:rPr>
        <w:t xml:space="preserve">subjected to </w:t>
      </w:r>
      <w:r w:rsidRPr="00282178" w:rsidR="00734FEB">
        <w:rPr>
          <w:lang w:val="en-GB"/>
        </w:rPr>
        <w:t>treatment proscribed by Article 3</w:t>
      </w:r>
    </w:p>
    <w:p w:rsidRPr="00282178" w:rsidR="00D80F29" w:rsidP="00282178" w:rsidRDefault="00D80F29">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42</w:t>
      </w:r>
      <w:r w:rsidRPr="00282178">
        <w:rPr>
          <w:lang w:val="en-GB"/>
        </w:rPr>
        <w:fldChar w:fldCharType="end"/>
      </w:r>
      <w:r w:rsidRPr="00282178">
        <w:rPr>
          <w:lang w:val="en-GB"/>
        </w:rPr>
        <w:t>.  The relevant general principles were reiterated by the Court</w:t>
      </w:r>
      <w:r w:rsidRPr="00282178" w:rsidR="00282178">
        <w:rPr>
          <w:lang w:val="en-GB"/>
        </w:rPr>
        <w:t>’</w:t>
      </w:r>
      <w:r w:rsidRPr="00282178">
        <w:rPr>
          <w:lang w:val="en-GB"/>
        </w:rPr>
        <w:t xml:space="preserve">s Grand Chamber in the case of </w:t>
      </w:r>
      <w:r w:rsidRPr="00282178">
        <w:rPr>
          <w:i/>
          <w:iCs/>
          <w:lang w:val="en-GB"/>
        </w:rPr>
        <w:t>Bouyid v. Belgium</w:t>
      </w:r>
      <w:r w:rsidRPr="00282178">
        <w:rPr>
          <w:lang w:val="en-GB"/>
        </w:rPr>
        <w:t xml:space="preserve"> ([GC], no. 23380/09, §§ 81-88, ECHR 2015). In particular, where the events in issue lie wholly, or in large part, within the exclusive knowledge of the authorities, as in the case of individuals within their control in custody, strong presumptions of fact will arise in respect of injuries occurring during such detention. The burden of proof is then on the Government to provide a satisfactory and convincing explanation by producing evidence establishing facts which cast doubt on the version of events given by the victim. In the absence of such an explanation, the Court can draw inferences which may be unfavourable for the Government. That is justified by the fact that those in custody are in a vulnerable position and the authorities are under a duty to protect them (</w:t>
      </w:r>
      <w:r w:rsidRPr="00282178">
        <w:rPr>
          <w:i/>
          <w:lang w:val="en-GB"/>
        </w:rPr>
        <w:t>ibid.,</w:t>
      </w:r>
      <w:r w:rsidRPr="00282178">
        <w:rPr>
          <w:lang w:val="en-GB"/>
        </w:rPr>
        <w:t xml:space="preserve"> § 83).</w:t>
      </w:r>
    </w:p>
    <w:p w:rsidRPr="00282178" w:rsidR="00D80F29"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43</w:t>
      </w:r>
      <w:r w:rsidRPr="00282178">
        <w:rPr>
          <w:lang w:val="en-GB"/>
        </w:rPr>
        <w:fldChar w:fldCharType="end"/>
      </w:r>
      <w:r w:rsidRPr="00282178" w:rsidR="00D80F29">
        <w:rPr>
          <w:lang w:val="en-GB"/>
        </w:rPr>
        <w:t>.  The Court reiterates that it has</w:t>
      </w:r>
      <w:r w:rsidRPr="00282178" w:rsidR="00DE3CD4">
        <w:rPr>
          <w:lang w:val="en-GB"/>
        </w:rPr>
        <w:t xml:space="preserve"> considered</w:t>
      </w:r>
      <w:r w:rsidRPr="00282178" w:rsidR="00D80F29">
        <w:rPr>
          <w:lang w:val="en-GB"/>
        </w:rPr>
        <w:t xml:space="preserve"> treatment to be “</w:t>
      </w:r>
      <w:r w:rsidRPr="00282178" w:rsidR="0085085C">
        <w:rPr>
          <w:lang w:val="en-GB"/>
        </w:rPr>
        <w:t xml:space="preserve">inhuman” </w:t>
      </w:r>
      <w:r w:rsidRPr="00282178" w:rsidR="00D80F29">
        <w:rPr>
          <w:lang w:val="en-GB"/>
        </w:rPr>
        <w:t>because</w:t>
      </w:r>
      <w:r w:rsidRPr="00282178" w:rsidR="00DE3CD4">
        <w:rPr>
          <w:lang w:val="en-GB"/>
        </w:rPr>
        <w:t xml:space="preserve">, </w:t>
      </w:r>
      <w:r w:rsidRPr="00282178" w:rsidR="00DE3CD4">
        <w:rPr>
          <w:i/>
          <w:lang w:val="en-GB"/>
        </w:rPr>
        <w:t>inter alia</w:t>
      </w:r>
      <w:r w:rsidRPr="00282178" w:rsidR="00DE3CD4">
        <w:rPr>
          <w:lang w:val="en-GB"/>
        </w:rPr>
        <w:t xml:space="preserve">, </w:t>
      </w:r>
      <w:r w:rsidRPr="00282178" w:rsidR="00D80F29">
        <w:rPr>
          <w:lang w:val="en-GB"/>
        </w:rPr>
        <w:t>it was premeditated, was applied for hours at a stretch and caused either actual bodily injury or intense physical and mental suffering. Treatment has been held to be “degrading” when it was such as to arouse in its victims feelings of fear, anguish and inferiority capable of humiliating and debasing them and possibly breaking their physical or moral resistance, or when it was such as to drive the victim to act against his will or conscience. In determining whether a particular form of ill-treatment should be classified as torture, consideration must be given to the distinction, embodied in Article 3, between this notion and that of inhuman or degrading treatment. As noted in previous cases, it appears that it was the intention that the Convention should, by means of such a distinction, attach a special stigma to deliberate inhuman treatment causing very serious and cruel suffering. In addition to the severity of the treatment, there is a purposive element to torture, as recognised in the United Nations Convention against Torture, which in Article 1 defines torture in terms of the intentional infliction of severe pain or suffering with the aim</w:t>
      </w:r>
      <w:r w:rsidRPr="00282178" w:rsidR="00D80F29">
        <w:rPr>
          <w:vanish/>
          <w:lang w:val="en-GB"/>
        </w:rPr>
        <w:t>,</w:t>
      </w:r>
      <w:r w:rsidRPr="00282178" w:rsidR="00D80F29">
        <w:rPr>
          <w:lang w:val="en-GB"/>
        </w:rPr>
        <w:t xml:space="preserve"> </w:t>
      </w:r>
      <w:r w:rsidRPr="00282178" w:rsidR="00D80F29">
        <w:rPr>
          <w:vanish/>
          <w:lang w:val="en-GB"/>
        </w:rPr>
        <w:t xml:space="preserve">inter alia, </w:t>
      </w:r>
      <w:r w:rsidRPr="00282178" w:rsidR="00D80F29">
        <w:rPr>
          <w:lang w:val="en-GB"/>
        </w:rPr>
        <w:t xml:space="preserve">of obtaining information, inflicting punishment or intimidating (see </w:t>
      </w:r>
      <w:r w:rsidRPr="00282178" w:rsidR="00D80F29">
        <w:rPr>
          <w:i/>
          <w:iCs/>
          <w:lang w:val="en-GB"/>
        </w:rPr>
        <w:t>Gäfgen</w:t>
      </w:r>
      <w:r w:rsidRPr="00282178" w:rsidR="00BE7FD8">
        <w:rPr>
          <w:i/>
          <w:iCs/>
          <w:lang w:val="en-GB"/>
        </w:rPr>
        <w:t xml:space="preserve"> v. </w:t>
      </w:r>
      <w:r w:rsidRPr="00282178" w:rsidR="00D80F29">
        <w:rPr>
          <w:i/>
          <w:iCs/>
          <w:lang w:val="en-GB"/>
        </w:rPr>
        <w:t>Germany</w:t>
      </w:r>
      <w:r w:rsidRPr="00282178" w:rsidR="00D80F29">
        <w:rPr>
          <w:lang w:val="en-GB"/>
        </w:rPr>
        <w:t xml:space="preserve"> [GC], no. 22978/05, §§ 89-90, ECHR 2010).</w:t>
      </w:r>
    </w:p>
    <w:p w:rsidRPr="00282178" w:rsidR="00C84B65" w:rsidP="00282178" w:rsidRDefault="00B844EC">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44</w:t>
      </w:r>
      <w:r w:rsidRPr="00282178">
        <w:rPr>
          <w:lang w:val="en-GB"/>
        </w:rPr>
        <w:fldChar w:fldCharType="end"/>
      </w:r>
      <w:r w:rsidRPr="00282178">
        <w:rPr>
          <w:lang w:val="en-GB"/>
        </w:rPr>
        <w:t>.  </w:t>
      </w:r>
      <w:r w:rsidRPr="00282178" w:rsidR="00DE3CD4">
        <w:rPr>
          <w:lang w:val="en-GB"/>
        </w:rPr>
        <w:t>Turning to the present case, t</w:t>
      </w:r>
      <w:r w:rsidRPr="00282178" w:rsidR="00D80F29">
        <w:rPr>
          <w:lang w:val="en-GB"/>
        </w:rPr>
        <w:t>he Court observes that i</w:t>
      </w:r>
      <w:r w:rsidRPr="00282178" w:rsidR="00B21C14">
        <w:rPr>
          <w:lang w:val="en-GB"/>
        </w:rPr>
        <w:t xml:space="preserve">n the civil proceedings </w:t>
      </w:r>
      <w:r w:rsidRPr="00282178" w:rsidR="006D30C6">
        <w:rPr>
          <w:lang w:val="en-GB"/>
        </w:rPr>
        <w:t>the domestic courts found</w:t>
      </w:r>
      <w:r w:rsidRPr="00282178" w:rsidR="00B21C14">
        <w:rPr>
          <w:lang w:val="en-GB"/>
        </w:rPr>
        <w:t xml:space="preserve"> that the applicant</w:t>
      </w:r>
      <w:r w:rsidRPr="00282178" w:rsidR="00282178">
        <w:rPr>
          <w:lang w:val="en-GB"/>
        </w:rPr>
        <w:t>’</w:t>
      </w:r>
      <w:r w:rsidRPr="00282178" w:rsidR="00B21C14">
        <w:rPr>
          <w:lang w:val="en-GB"/>
        </w:rPr>
        <w:t xml:space="preserve">s </w:t>
      </w:r>
      <w:r w:rsidRPr="00282178" w:rsidR="001F5983">
        <w:rPr>
          <w:lang w:val="en-GB"/>
        </w:rPr>
        <w:t>right not to be subjected to treatment</w:t>
      </w:r>
      <w:r w:rsidRPr="00282178" w:rsidR="00630A1D">
        <w:rPr>
          <w:lang w:val="en-GB"/>
        </w:rPr>
        <w:t xml:space="preserve"> </w:t>
      </w:r>
      <w:r w:rsidRPr="00282178" w:rsidR="007A753E">
        <w:rPr>
          <w:lang w:val="en-GB"/>
        </w:rPr>
        <w:t xml:space="preserve">proscribed under Article 3 of the Convention </w:t>
      </w:r>
      <w:r w:rsidRPr="00282178" w:rsidR="00630A1D">
        <w:rPr>
          <w:lang w:val="en-GB"/>
        </w:rPr>
        <w:t>had been violated.</w:t>
      </w:r>
    </w:p>
    <w:p w:rsidRPr="00282178" w:rsidR="001F5983" w:rsidP="00282178" w:rsidRDefault="00C84B65">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45</w:t>
      </w:r>
      <w:r w:rsidRPr="00282178">
        <w:rPr>
          <w:lang w:val="en-GB"/>
        </w:rPr>
        <w:fldChar w:fldCharType="end"/>
      </w:r>
      <w:r w:rsidRPr="00282178">
        <w:rPr>
          <w:lang w:val="en-GB"/>
        </w:rPr>
        <w:t>.  </w:t>
      </w:r>
      <w:r w:rsidRPr="00282178" w:rsidR="001F5983">
        <w:rPr>
          <w:lang w:val="en-GB"/>
        </w:rPr>
        <w:t>The</w:t>
      </w:r>
      <w:r w:rsidRPr="00282178" w:rsidR="00594BD7">
        <w:rPr>
          <w:lang w:val="en-GB"/>
        </w:rPr>
        <w:t>y</w:t>
      </w:r>
      <w:r w:rsidRPr="00282178" w:rsidR="001F5983">
        <w:rPr>
          <w:lang w:val="en-GB"/>
        </w:rPr>
        <w:t xml:space="preserve"> </w:t>
      </w:r>
      <w:r w:rsidRPr="00282178" w:rsidR="00CB7CC6">
        <w:rPr>
          <w:lang w:val="en-GB"/>
        </w:rPr>
        <w:t xml:space="preserve">established that </w:t>
      </w:r>
      <w:r w:rsidRPr="00282178" w:rsidR="001F5983">
        <w:rPr>
          <w:lang w:val="en-GB"/>
        </w:rPr>
        <w:t>the applicant</w:t>
      </w:r>
      <w:r w:rsidRPr="00282178" w:rsidR="00282178">
        <w:rPr>
          <w:lang w:val="en-GB"/>
        </w:rPr>
        <w:t>’</w:t>
      </w:r>
      <w:r w:rsidRPr="00282178" w:rsidR="00DD0DA4">
        <w:rPr>
          <w:lang w:val="en-GB"/>
        </w:rPr>
        <w:t xml:space="preserve">s injuries </w:t>
      </w:r>
      <w:r w:rsidRPr="00282178" w:rsidR="00CB7CC6">
        <w:rPr>
          <w:lang w:val="en-GB"/>
        </w:rPr>
        <w:t xml:space="preserve">had been </w:t>
      </w:r>
      <w:r w:rsidRPr="00282178" w:rsidR="00DD0DA4">
        <w:rPr>
          <w:lang w:val="en-GB"/>
        </w:rPr>
        <w:t xml:space="preserve">sustained during his detention at </w:t>
      </w:r>
      <w:r w:rsidRPr="00282178" w:rsidR="00594BD7">
        <w:rPr>
          <w:lang w:val="en-GB"/>
        </w:rPr>
        <w:t xml:space="preserve">the </w:t>
      </w:r>
      <w:r w:rsidRPr="00282178" w:rsidR="00B21C14">
        <w:rPr>
          <w:lang w:val="en-GB"/>
        </w:rPr>
        <w:t xml:space="preserve">Sovetskiy district </w:t>
      </w:r>
      <w:r w:rsidRPr="00282178" w:rsidR="00594BD7">
        <w:rPr>
          <w:lang w:val="en-GB"/>
        </w:rPr>
        <w:t>police station</w:t>
      </w:r>
      <w:r w:rsidRPr="00282178" w:rsidR="00EE4A76">
        <w:rPr>
          <w:lang w:val="en-GB"/>
        </w:rPr>
        <w:t xml:space="preserve"> as a result of violence used by officers of the Sovetskiy district police</w:t>
      </w:r>
      <w:r w:rsidRPr="00282178" w:rsidR="00DD0DA4">
        <w:rPr>
          <w:lang w:val="en-GB"/>
        </w:rPr>
        <w:t xml:space="preserve">, and that the authorities had no evidence </w:t>
      </w:r>
      <w:r w:rsidRPr="00282178" w:rsidR="00675D89">
        <w:rPr>
          <w:lang w:val="en-GB"/>
        </w:rPr>
        <w:t xml:space="preserve">capable of </w:t>
      </w:r>
      <w:r w:rsidRPr="00282178" w:rsidR="00DD0DA4">
        <w:rPr>
          <w:lang w:val="en-GB"/>
        </w:rPr>
        <w:t>prov</w:t>
      </w:r>
      <w:r w:rsidRPr="00282178" w:rsidR="00675D89">
        <w:rPr>
          <w:lang w:val="en-GB"/>
        </w:rPr>
        <w:t>ing</w:t>
      </w:r>
      <w:r w:rsidRPr="00282178" w:rsidR="00DD0DA4">
        <w:rPr>
          <w:lang w:val="en-GB"/>
        </w:rPr>
        <w:t xml:space="preserve"> that </w:t>
      </w:r>
      <w:r w:rsidRPr="00282178" w:rsidR="00B21C14">
        <w:rPr>
          <w:lang w:val="en-GB"/>
        </w:rPr>
        <w:t>he</w:t>
      </w:r>
      <w:r w:rsidRPr="00282178" w:rsidR="00DD0DA4">
        <w:rPr>
          <w:lang w:val="en-GB"/>
        </w:rPr>
        <w:t xml:space="preserve"> could have received the injuries in other circumstances</w:t>
      </w:r>
      <w:r w:rsidRPr="00282178" w:rsidR="00CB7CC6">
        <w:rPr>
          <w:lang w:val="en-GB"/>
        </w:rPr>
        <w:t>.</w:t>
      </w:r>
      <w:r w:rsidRPr="00282178">
        <w:rPr>
          <w:lang w:val="en-GB"/>
        </w:rPr>
        <w:t xml:space="preserve"> They found </w:t>
      </w:r>
      <w:r w:rsidRPr="00282178" w:rsidR="00B21C14">
        <w:rPr>
          <w:lang w:val="en-GB"/>
        </w:rPr>
        <w:t xml:space="preserve">that </w:t>
      </w:r>
      <w:r w:rsidRPr="00282178" w:rsidR="00675D89">
        <w:rPr>
          <w:lang w:val="en-GB"/>
        </w:rPr>
        <w:t xml:space="preserve">the State </w:t>
      </w:r>
      <w:r w:rsidRPr="00282178" w:rsidR="006D30C6">
        <w:rPr>
          <w:lang w:val="en-GB"/>
        </w:rPr>
        <w:t xml:space="preserve">was </w:t>
      </w:r>
      <w:r w:rsidRPr="00282178" w:rsidR="00675D89">
        <w:rPr>
          <w:lang w:val="en-GB"/>
        </w:rPr>
        <w:t>responsible for the applicant</w:t>
      </w:r>
      <w:r w:rsidRPr="00282178" w:rsidR="00282178">
        <w:rPr>
          <w:lang w:val="en-GB"/>
        </w:rPr>
        <w:t>’</w:t>
      </w:r>
      <w:r w:rsidRPr="00282178" w:rsidR="00675D89">
        <w:rPr>
          <w:lang w:val="en-GB"/>
        </w:rPr>
        <w:t>s ill-treatment regardless of the fact that the guilt of specific individuals had not been established.</w:t>
      </w:r>
      <w:r w:rsidRPr="00282178" w:rsidR="00EE4A76">
        <w:rPr>
          <w:lang w:val="en-GB"/>
        </w:rPr>
        <w:t xml:space="preserve"> The Court agrees with the domestic courts</w:t>
      </w:r>
      <w:r w:rsidRPr="00282178" w:rsidR="00282178">
        <w:rPr>
          <w:lang w:val="en-GB"/>
        </w:rPr>
        <w:t>’</w:t>
      </w:r>
      <w:r w:rsidRPr="00282178" w:rsidR="00EE4A76">
        <w:rPr>
          <w:lang w:val="en-GB"/>
        </w:rPr>
        <w:t xml:space="preserve"> assessment</w:t>
      </w:r>
      <w:r w:rsidRPr="00282178" w:rsidR="00B21C14">
        <w:rPr>
          <w:lang w:val="en-GB"/>
        </w:rPr>
        <w:t>,</w:t>
      </w:r>
      <w:r w:rsidRPr="00282178" w:rsidR="00EE4A76">
        <w:rPr>
          <w:lang w:val="en-GB"/>
        </w:rPr>
        <w:t xml:space="preserve"> which was based on the principles embodied in the case</w:t>
      </w:r>
      <w:r w:rsidRPr="00282178" w:rsidR="00EE4A76">
        <w:rPr>
          <w:lang w:val="en-GB"/>
        </w:rPr>
        <w:noBreakHyphen/>
        <w:t>law un</w:t>
      </w:r>
      <w:r w:rsidRPr="00282178" w:rsidR="00F3010B">
        <w:rPr>
          <w:lang w:val="en-GB"/>
        </w:rPr>
        <w:t>der Article 3 of the Convention</w:t>
      </w:r>
      <w:r w:rsidRPr="00282178" w:rsidR="00EE4A76">
        <w:rPr>
          <w:lang w:val="en-GB"/>
        </w:rPr>
        <w:t>.</w:t>
      </w:r>
    </w:p>
    <w:p w:rsidRPr="00282178" w:rsidR="00C45A62"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46</w:t>
      </w:r>
      <w:r w:rsidRPr="00282178">
        <w:rPr>
          <w:lang w:val="en-GB"/>
        </w:rPr>
        <w:fldChar w:fldCharType="end"/>
      </w:r>
      <w:r w:rsidRPr="00282178" w:rsidR="00EE4A76">
        <w:rPr>
          <w:lang w:val="en-GB"/>
        </w:rPr>
        <w:t>.  </w:t>
      </w:r>
      <w:r w:rsidRPr="00282178" w:rsidR="009E5D12">
        <w:rPr>
          <w:lang w:val="en-GB"/>
        </w:rPr>
        <w:t xml:space="preserve">As regards the </w:t>
      </w:r>
      <w:r w:rsidRPr="00282178" w:rsidR="007A753E">
        <w:rPr>
          <w:lang w:val="en-GB"/>
        </w:rPr>
        <w:t xml:space="preserve">legal </w:t>
      </w:r>
      <w:r w:rsidRPr="00282178" w:rsidR="00C45A62">
        <w:rPr>
          <w:lang w:val="en-GB"/>
        </w:rPr>
        <w:t>qualification</w:t>
      </w:r>
      <w:r w:rsidRPr="00282178" w:rsidR="007A753E">
        <w:rPr>
          <w:lang w:val="en-GB"/>
        </w:rPr>
        <w:t xml:space="preserve"> of the </w:t>
      </w:r>
      <w:r w:rsidRPr="00282178" w:rsidR="005A1BE0">
        <w:rPr>
          <w:lang w:val="en-GB"/>
        </w:rPr>
        <w:t xml:space="preserve">treatment, </w:t>
      </w:r>
      <w:r w:rsidRPr="00282178" w:rsidR="00962273">
        <w:rPr>
          <w:lang w:val="en-GB"/>
        </w:rPr>
        <w:t>t</w:t>
      </w:r>
      <w:r w:rsidRPr="00282178" w:rsidR="00F3010B">
        <w:rPr>
          <w:lang w:val="en-GB"/>
        </w:rPr>
        <w:t xml:space="preserve">he Court observes that </w:t>
      </w:r>
      <w:r w:rsidRPr="00282178" w:rsidR="000B4F2B">
        <w:rPr>
          <w:lang w:val="en-GB"/>
        </w:rPr>
        <w:t>the applicant</w:t>
      </w:r>
      <w:r w:rsidRPr="00282178" w:rsidR="006D30C6">
        <w:rPr>
          <w:lang w:val="en-GB"/>
        </w:rPr>
        <w:t xml:space="preserve">, </w:t>
      </w:r>
      <w:r w:rsidRPr="00282178" w:rsidR="00C14C64">
        <w:rPr>
          <w:lang w:val="en-GB"/>
        </w:rPr>
        <w:t>a minor at the time</w:t>
      </w:r>
      <w:r w:rsidRPr="00282178" w:rsidR="006D30C6">
        <w:rPr>
          <w:lang w:val="en-GB"/>
        </w:rPr>
        <w:t>,</w:t>
      </w:r>
      <w:r w:rsidRPr="00282178" w:rsidR="00187D08">
        <w:rPr>
          <w:lang w:val="en-GB"/>
        </w:rPr>
        <w:t xml:space="preserve"> </w:t>
      </w:r>
      <w:r w:rsidRPr="00282178" w:rsidR="00C14C64">
        <w:rPr>
          <w:lang w:val="en-GB"/>
        </w:rPr>
        <w:t xml:space="preserve">had to confront four or five police officers who, as he believed, were there to protect people like him, and in whom he therefore had </w:t>
      </w:r>
      <w:r w:rsidRPr="00282178" w:rsidR="006D30C6">
        <w:rPr>
          <w:lang w:val="en-GB"/>
        </w:rPr>
        <w:t>trust,</w:t>
      </w:r>
      <w:r w:rsidRPr="00282178" w:rsidR="00C14C64">
        <w:rPr>
          <w:lang w:val="en-GB"/>
        </w:rPr>
        <w:t xml:space="preserve"> having </w:t>
      </w:r>
      <w:r w:rsidRPr="00282178" w:rsidR="002D0379">
        <w:rPr>
          <w:lang w:val="en-GB"/>
        </w:rPr>
        <w:t xml:space="preserve">accompanied </w:t>
      </w:r>
      <w:r w:rsidRPr="00282178" w:rsidR="00C14C64">
        <w:rPr>
          <w:lang w:val="en-GB"/>
        </w:rPr>
        <w:t xml:space="preserve">them to the police station </w:t>
      </w:r>
      <w:r w:rsidRPr="00282178" w:rsidR="00CB5BF9">
        <w:rPr>
          <w:lang w:val="en-GB"/>
        </w:rPr>
        <w:t xml:space="preserve">alone </w:t>
      </w:r>
      <w:r w:rsidRPr="00282178" w:rsidR="00C14C64">
        <w:rPr>
          <w:lang w:val="en-GB"/>
        </w:rPr>
        <w:t>at their request.</w:t>
      </w:r>
      <w:r w:rsidRPr="00282178" w:rsidR="00E14A88">
        <w:rPr>
          <w:lang w:val="en-GB"/>
        </w:rPr>
        <w:t xml:space="preserve"> The</w:t>
      </w:r>
      <w:r w:rsidRPr="00282178" w:rsidR="00CD2E22">
        <w:rPr>
          <w:lang w:val="en-GB"/>
        </w:rPr>
        <w:t>y</w:t>
      </w:r>
      <w:r w:rsidRPr="00282178" w:rsidR="00CB5BF9">
        <w:rPr>
          <w:lang w:val="en-GB"/>
        </w:rPr>
        <w:t xml:space="preserve"> </w:t>
      </w:r>
      <w:r w:rsidRPr="00282178" w:rsidR="002C515C">
        <w:rPr>
          <w:lang w:val="en-GB"/>
        </w:rPr>
        <w:t xml:space="preserve">subjected him to various forms of </w:t>
      </w:r>
      <w:r w:rsidRPr="00282178" w:rsidR="00C65E5B">
        <w:rPr>
          <w:lang w:val="en-GB"/>
        </w:rPr>
        <w:t>ill</w:t>
      </w:r>
      <w:r w:rsidRPr="00282178" w:rsidR="00C65E5B">
        <w:rPr>
          <w:lang w:val="en-GB"/>
        </w:rPr>
        <w:noBreakHyphen/>
      </w:r>
      <w:r w:rsidRPr="00282178" w:rsidR="002C515C">
        <w:rPr>
          <w:lang w:val="en-GB"/>
        </w:rPr>
        <w:t>treatment</w:t>
      </w:r>
      <w:r w:rsidRPr="00282178" w:rsidR="00CD2E22">
        <w:rPr>
          <w:lang w:val="en-GB"/>
        </w:rPr>
        <w:t xml:space="preserve">, </w:t>
      </w:r>
      <w:r w:rsidRPr="00282178" w:rsidR="00C65E5B">
        <w:rPr>
          <w:lang w:val="en-GB"/>
        </w:rPr>
        <w:t>which included being punched</w:t>
      </w:r>
      <w:r w:rsidRPr="00282178" w:rsidR="0088163E">
        <w:rPr>
          <w:lang w:val="en-GB"/>
        </w:rPr>
        <w:t xml:space="preserve"> and</w:t>
      </w:r>
      <w:r w:rsidRPr="00282178" w:rsidR="00C65E5B">
        <w:rPr>
          <w:lang w:val="en-GB"/>
        </w:rPr>
        <w:t xml:space="preserve"> kicked, </w:t>
      </w:r>
      <w:r w:rsidRPr="00282178" w:rsidR="0088163E">
        <w:rPr>
          <w:lang w:val="en-GB"/>
        </w:rPr>
        <w:t xml:space="preserve">sat on and jumped on while being covered with a blanket, grabbed by the ears and forced to do the splits, and being subjected to near suffocation by being throttled with a baton and having a plastic bag put over his head. Such treatment </w:t>
      </w:r>
      <w:r w:rsidRPr="00282178" w:rsidR="004878D1">
        <w:rPr>
          <w:lang w:val="en-GB"/>
        </w:rPr>
        <w:t xml:space="preserve">caused </w:t>
      </w:r>
      <w:r w:rsidRPr="00282178" w:rsidR="00CD2E22">
        <w:rPr>
          <w:lang w:val="en-GB"/>
        </w:rPr>
        <w:t xml:space="preserve">him </w:t>
      </w:r>
      <w:r w:rsidRPr="00282178" w:rsidR="004878D1">
        <w:rPr>
          <w:lang w:val="en-GB"/>
        </w:rPr>
        <w:t>bodily in</w:t>
      </w:r>
      <w:r w:rsidRPr="00282178" w:rsidR="006D02D2">
        <w:rPr>
          <w:lang w:val="en-GB"/>
        </w:rPr>
        <w:t>juries and</w:t>
      </w:r>
      <w:r w:rsidRPr="00282178" w:rsidR="004878D1">
        <w:rPr>
          <w:lang w:val="en-GB"/>
        </w:rPr>
        <w:t xml:space="preserve"> </w:t>
      </w:r>
      <w:r w:rsidRPr="00282178" w:rsidR="00C511B2">
        <w:rPr>
          <w:lang w:val="en-GB"/>
        </w:rPr>
        <w:t>physical and mental</w:t>
      </w:r>
      <w:r w:rsidRPr="00282178" w:rsidR="004878D1">
        <w:rPr>
          <w:lang w:val="en-GB"/>
        </w:rPr>
        <w:t xml:space="preserve"> suffering</w:t>
      </w:r>
      <w:r w:rsidRPr="00282178" w:rsidR="002D0379">
        <w:rPr>
          <w:lang w:val="en-GB"/>
        </w:rPr>
        <w:t>,</w:t>
      </w:r>
      <w:r w:rsidRPr="00282178" w:rsidR="004878D1">
        <w:rPr>
          <w:lang w:val="en-GB"/>
        </w:rPr>
        <w:t xml:space="preserve"> </w:t>
      </w:r>
      <w:r w:rsidRPr="00282178" w:rsidR="00C511B2">
        <w:rPr>
          <w:lang w:val="en-GB"/>
        </w:rPr>
        <w:t xml:space="preserve">including </w:t>
      </w:r>
      <w:r w:rsidRPr="00282178" w:rsidR="00CD2E22">
        <w:rPr>
          <w:lang w:val="en-GB"/>
        </w:rPr>
        <w:t xml:space="preserve">a </w:t>
      </w:r>
      <w:r w:rsidRPr="00282178" w:rsidR="00C511B2">
        <w:rPr>
          <w:lang w:val="en-GB"/>
        </w:rPr>
        <w:t xml:space="preserve">fear for his </w:t>
      </w:r>
      <w:r w:rsidRPr="00282178" w:rsidR="002D0379">
        <w:rPr>
          <w:lang w:val="en-GB"/>
        </w:rPr>
        <w:t xml:space="preserve">own </w:t>
      </w:r>
      <w:r w:rsidRPr="00282178" w:rsidR="00C511B2">
        <w:rPr>
          <w:lang w:val="en-GB"/>
        </w:rPr>
        <w:t>life</w:t>
      </w:r>
      <w:r w:rsidRPr="00282178" w:rsidR="00EE4A76">
        <w:rPr>
          <w:lang w:val="en-GB"/>
        </w:rPr>
        <w:t xml:space="preserve">. </w:t>
      </w:r>
      <w:r w:rsidRPr="00282178" w:rsidR="00C45A62">
        <w:rPr>
          <w:lang w:val="en-GB"/>
        </w:rPr>
        <w:t xml:space="preserve">It took him three weeks to recover. </w:t>
      </w:r>
      <w:r w:rsidRPr="00282178" w:rsidR="008B6232">
        <w:rPr>
          <w:lang w:val="en-GB"/>
        </w:rPr>
        <w:t>The police officers acted intentionally with the aim of humiliating him, driving him into submission and making him confess to the crime</w:t>
      </w:r>
      <w:r w:rsidRPr="00282178" w:rsidR="00C45A62">
        <w:rPr>
          <w:lang w:val="en-GB"/>
        </w:rPr>
        <w:t>.</w:t>
      </w:r>
    </w:p>
    <w:p w:rsidRPr="00282178" w:rsidR="00A440A3"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47</w:t>
      </w:r>
      <w:r w:rsidRPr="00282178">
        <w:rPr>
          <w:lang w:val="en-GB"/>
        </w:rPr>
        <w:fldChar w:fldCharType="end"/>
      </w:r>
      <w:r w:rsidRPr="00282178" w:rsidR="00C45A62">
        <w:rPr>
          <w:lang w:val="en-GB"/>
        </w:rPr>
        <w:t>.  </w:t>
      </w:r>
      <w:r w:rsidRPr="00282178" w:rsidR="008B6232">
        <w:rPr>
          <w:lang w:val="en-GB"/>
        </w:rPr>
        <w:t>The applicant</w:t>
      </w:r>
      <w:r w:rsidRPr="00282178" w:rsidR="00282178">
        <w:rPr>
          <w:lang w:val="en-GB"/>
        </w:rPr>
        <w:t>’</w:t>
      </w:r>
      <w:r w:rsidRPr="00282178" w:rsidR="008B6232">
        <w:rPr>
          <w:lang w:val="en-GB"/>
        </w:rPr>
        <w:t xml:space="preserve">s allegations were consistent throughout the domestic proceedings and were taken as established by the Sovetskiy District Court of Nizhniy Novgorod and the Nizhniy Novgorod Regional Court. The Government did not dispute them either. The Court </w:t>
      </w:r>
      <w:r w:rsidRPr="00282178" w:rsidR="00DE3CD4">
        <w:rPr>
          <w:lang w:val="en-GB"/>
        </w:rPr>
        <w:t xml:space="preserve">considers that the alleged facts can </w:t>
      </w:r>
      <w:r w:rsidRPr="00282178" w:rsidR="008B6232">
        <w:rPr>
          <w:lang w:val="en-GB"/>
        </w:rPr>
        <w:t xml:space="preserve">therefore </w:t>
      </w:r>
      <w:r w:rsidRPr="00282178" w:rsidR="00DE3CD4">
        <w:rPr>
          <w:lang w:val="en-GB"/>
        </w:rPr>
        <w:t xml:space="preserve">be assumed to have been </w:t>
      </w:r>
      <w:r w:rsidRPr="00282178" w:rsidR="008B6232">
        <w:rPr>
          <w:lang w:val="en-GB"/>
        </w:rPr>
        <w:t xml:space="preserve">established. It </w:t>
      </w:r>
      <w:r w:rsidRPr="00282178" w:rsidR="00C45A62">
        <w:rPr>
          <w:lang w:val="en-GB"/>
        </w:rPr>
        <w:t>also notes that the ill-treatment occurred during the applicant</w:t>
      </w:r>
      <w:r w:rsidRPr="00282178" w:rsidR="00282178">
        <w:rPr>
          <w:lang w:val="en-GB"/>
        </w:rPr>
        <w:t>’</w:t>
      </w:r>
      <w:r w:rsidRPr="00282178" w:rsidR="00C45A62">
        <w:rPr>
          <w:lang w:val="en-GB"/>
        </w:rPr>
        <w:t>s arbitrary ten-hour period of detention at the police station. He was denied all the rights of a person detained on suspicion of an offence, and was entirely under the control of police officers. This made him particularly vulnerable, especially given his age.</w:t>
      </w:r>
    </w:p>
    <w:p w:rsidRPr="00282178" w:rsidR="00C45A62"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48</w:t>
      </w:r>
      <w:r w:rsidRPr="00282178">
        <w:rPr>
          <w:lang w:val="en-GB"/>
        </w:rPr>
        <w:fldChar w:fldCharType="end"/>
      </w:r>
      <w:r w:rsidRPr="00282178" w:rsidR="00C45A62">
        <w:rPr>
          <w:lang w:val="en-GB"/>
        </w:rPr>
        <w:t>.  Having regard to all the circumstances of the case, including the applicant</w:t>
      </w:r>
      <w:r w:rsidRPr="00282178" w:rsidR="00282178">
        <w:rPr>
          <w:lang w:val="en-GB"/>
        </w:rPr>
        <w:t>’</w:t>
      </w:r>
      <w:r w:rsidRPr="00282178" w:rsidR="00C45A62">
        <w:rPr>
          <w:lang w:val="en-GB"/>
        </w:rPr>
        <w:t>s age</w:t>
      </w:r>
      <w:r w:rsidRPr="00282178" w:rsidR="001121D0">
        <w:rPr>
          <w:lang w:val="en-GB"/>
        </w:rPr>
        <w:t>, the gravity of the treatment to which the applicant was subjected at the hands of the police,</w:t>
      </w:r>
      <w:r w:rsidRPr="00282178" w:rsidR="00C45A62">
        <w:rPr>
          <w:lang w:val="en-GB"/>
        </w:rPr>
        <w:t xml:space="preserve"> </w:t>
      </w:r>
      <w:r w:rsidRPr="00282178" w:rsidR="001121D0">
        <w:rPr>
          <w:lang w:val="en-GB"/>
        </w:rPr>
        <w:t xml:space="preserve">the use of tools such as a wooden stick and a plastic bag, </w:t>
      </w:r>
      <w:r w:rsidRPr="00282178" w:rsidR="00C45A62">
        <w:rPr>
          <w:lang w:val="en-GB"/>
        </w:rPr>
        <w:t>the physical and mental effects of the treatment</w:t>
      </w:r>
      <w:r w:rsidRPr="00282178" w:rsidR="001121D0">
        <w:rPr>
          <w:lang w:val="en-GB"/>
        </w:rPr>
        <w:t xml:space="preserve"> and the purpose for which it was inflicted, t</w:t>
      </w:r>
      <w:r w:rsidRPr="00282178" w:rsidR="0036590A">
        <w:rPr>
          <w:lang w:val="en-GB"/>
        </w:rPr>
        <w:t xml:space="preserve">he Court </w:t>
      </w:r>
      <w:r w:rsidRPr="00282178" w:rsidR="00F3010B">
        <w:rPr>
          <w:lang w:val="en-GB"/>
        </w:rPr>
        <w:t>considers</w:t>
      </w:r>
      <w:r w:rsidRPr="00282178" w:rsidR="0036590A">
        <w:rPr>
          <w:lang w:val="en-GB"/>
        </w:rPr>
        <w:t xml:space="preserve"> that </w:t>
      </w:r>
      <w:r w:rsidRPr="00282178" w:rsidR="001121D0">
        <w:rPr>
          <w:lang w:val="en-GB"/>
        </w:rPr>
        <w:t>such</w:t>
      </w:r>
      <w:r w:rsidRPr="00282178" w:rsidR="0036590A">
        <w:rPr>
          <w:lang w:val="en-GB"/>
        </w:rPr>
        <w:t xml:space="preserve"> treatment amounted to torture</w:t>
      </w:r>
      <w:r w:rsidRPr="00282178" w:rsidR="00F3010B">
        <w:rPr>
          <w:lang w:val="en-GB"/>
        </w:rPr>
        <w:t>.</w:t>
      </w:r>
    </w:p>
    <w:p w:rsidRPr="00282178" w:rsidR="00C7200E" w:rsidP="00282178" w:rsidRDefault="00AE13C3">
      <w:pPr>
        <w:pStyle w:val="ECHRHeading4"/>
        <w:rPr>
          <w:lang w:val="en-GB"/>
        </w:rPr>
      </w:pPr>
      <w:r w:rsidRPr="00282178">
        <w:rPr>
          <w:lang w:val="en-GB"/>
        </w:rPr>
        <w:t>(</w:t>
      </w:r>
      <w:r w:rsidRPr="00282178" w:rsidR="0050135D">
        <w:rPr>
          <w:lang w:val="en-GB"/>
        </w:rPr>
        <w:t>b)</w:t>
      </w:r>
      <w:r w:rsidRPr="00282178" w:rsidR="00C7200E">
        <w:rPr>
          <w:lang w:val="en-GB"/>
        </w:rPr>
        <w:t>  </w:t>
      </w:r>
      <w:r w:rsidRPr="00282178" w:rsidR="009C2BB5">
        <w:rPr>
          <w:lang w:val="en-GB"/>
        </w:rPr>
        <w:t xml:space="preserve">Whether </w:t>
      </w:r>
      <w:r w:rsidRPr="00282178" w:rsidR="00C7200E">
        <w:rPr>
          <w:lang w:val="en-GB"/>
        </w:rPr>
        <w:t>the authorities carr</w:t>
      </w:r>
      <w:r w:rsidRPr="00282178" w:rsidR="009C2BB5">
        <w:rPr>
          <w:lang w:val="en-GB"/>
        </w:rPr>
        <w:t>ied out an effective investigation</w:t>
      </w:r>
    </w:p>
    <w:p w:rsidRPr="00282178" w:rsidR="00630A1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49</w:t>
      </w:r>
      <w:r w:rsidRPr="00282178">
        <w:rPr>
          <w:lang w:val="en-GB"/>
        </w:rPr>
        <w:fldChar w:fldCharType="end"/>
      </w:r>
      <w:r w:rsidRPr="00282178" w:rsidR="001121D0">
        <w:rPr>
          <w:lang w:val="en-GB"/>
        </w:rPr>
        <w:t>.  </w:t>
      </w:r>
      <w:r w:rsidRPr="00282178" w:rsidR="00630A1D">
        <w:rPr>
          <w:lang w:val="en-GB"/>
        </w:rPr>
        <w:t>The applicant made a credible assertion</w:t>
      </w:r>
      <w:r w:rsidRPr="00282178" w:rsidR="00DB33E5">
        <w:rPr>
          <w:lang w:val="en-GB"/>
        </w:rPr>
        <w:t>, supported by medical and other evidence,</w:t>
      </w:r>
      <w:r w:rsidRPr="00282178" w:rsidR="00630A1D">
        <w:rPr>
          <w:lang w:val="en-GB"/>
        </w:rPr>
        <w:t xml:space="preserve"> that he had suffered </w:t>
      </w:r>
      <w:r w:rsidRPr="00282178" w:rsidR="000C7211">
        <w:rPr>
          <w:lang w:val="en-GB"/>
        </w:rPr>
        <w:t>torture</w:t>
      </w:r>
      <w:r w:rsidRPr="00282178" w:rsidR="00630A1D">
        <w:rPr>
          <w:lang w:val="en-GB"/>
        </w:rPr>
        <w:t xml:space="preserve"> at the hands of the police. The State therefore had an obligation to carry out an effective investigation into his allegation</w:t>
      </w:r>
      <w:r w:rsidRPr="00282178" w:rsidR="002C515C">
        <w:rPr>
          <w:lang w:val="en-GB"/>
        </w:rPr>
        <w:t>s</w:t>
      </w:r>
      <w:r w:rsidRPr="00282178" w:rsidR="00630A1D">
        <w:rPr>
          <w:lang w:val="en-GB"/>
        </w:rPr>
        <w:t>.</w:t>
      </w:r>
    </w:p>
    <w:p w:rsidRPr="00282178" w:rsidR="00630A1D"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50</w:t>
      </w:r>
      <w:r w:rsidRPr="00282178">
        <w:rPr>
          <w:lang w:val="en-GB"/>
        </w:rPr>
        <w:fldChar w:fldCharType="end"/>
      </w:r>
      <w:r w:rsidRPr="00282178" w:rsidR="00DB33E5">
        <w:rPr>
          <w:lang w:val="en-GB"/>
        </w:rPr>
        <w:t>.  </w:t>
      </w:r>
      <w:r w:rsidRPr="00282178" w:rsidR="00630A1D">
        <w:rPr>
          <w:lang w:val="en-GB"/>
        </w:rPr>
        <w:t xml:space="preserve">The Government have acknowledged that no such investigation took place. The Court, as with regard to the violation of Article 3 </w:t>
      </w:r>
      <w:r w:rsidRPr="00282178" w:rsidR="00AC2D51">
        <w:rPr>
          <w:lang w:val="en-GB"/>
        </w:rPr>
        <w:t xml:space="preserve">under </w:t>
      </w:r>
      <w:r w:rsidRPr="00282178" w:rsidR="00630A1D">
        <w:rPr>
          <w:lang w:val="en-GB"/>
        </w:rPr>
        <w:t xml:space="preserve">its substantive </w:t>
      </w:r>
      <w:r w:rsidRPr="00282178" w:rsidR="00AC2D51">
        <w:rPr>
          <w:lang w:val="en-GB"/>
        </w:rPr>
        <w:t>limb</w:t>
      </w:r>
      <w:r w:rsidRPr="00282178" w:rsidR="00630A1D">
        <w:rPr>
          <w:lang w:val="en-GB"/>
        </w:rPr>
        <w:t xml:space="preserve">, </w:t>
      </w:r>
      <w:r w:rsidRPr="00282178" w:rsidR="00E61A49">
        <w:rPr>
          <w:lang w:val="en-GB"/>
        </w:rPr>
        <w:t xml:space="preserve">sees </w:t>
      </w:r>
      <w:r w:rsidRPr="00282178" w:rsidR="00630A1D">
        <w:rPr>
          <w:lang w:val="en-GB"/>
        </w:rPr>
        <w:t>no reason to hold otherwise.</w:t>
      </w:r>
    </w:p>
    <w:p w:rsidRPr="00282178" w:rsidR="00607753" w:rsidP="00282178" w:rsidRDefault="009045ED">
      <w:pPr>
        <w:pStyle w:val="ECHRPara"/>
        <w:rPr>
          <w:i/>
          <w:szCs w:val="24"/>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51</w:t>
      </w:r>
      <w:r w:rsidRPr="00282178">
        <w:rPr>
          <w:lang w:val="en-GB"/>
        </w:rPr>
        <w:fldChar w:fldCharType="end"/>
      </w:r>
      <w:r w:rsidRPr="00282178" w:rsidR="00630A1D">
        <w:rPr>
          <w:lang w:val="en-GB"/>
        </w:rPr>
        <w:t xml:space="preserve">.  The Court </w:t>
      </w:r>
      <w:r w:rsidRPr="00282178" w:rsidR="00607753">
        <w:rPr>
          <w:lang w:val="en-GB"/>
        </w:rPr>
        <w:t>has previously found that in the context of the Russian legal system in cases of credible allegations of treatment proscribed under Article 3 of the Convention, it is incumbent on the authorities to open a criminal case and conduct a proper criminal investigation in which the whole range of investigative measures are carried out and which constitutes an effective remedy for victims of police ill</w:t>
      </w:r>
      <w:r w:rsidRPr="00282178" w:rsidR="00607753">
        <w:rPr>
          <w:lang w:val="en-GB"/>
        </w:rPr>
        <w:noBreakHyphen/>
        <w:t>treatment under dome</w:t>
      </w:r>
      <w:r w:rsidRPr="00282178" w:rsidR="00F90B62">
        <w:rPr>
          <w:lang w:val="en-GB"/>
        </w:rPr>
        <w:t>stic law</w:t>
      </w:r>
      <w:r w:rsidRPr="00282178" w:rsidR="00607753">
        <w:rPr>
          <w:lang w:val="en-GB"/>
        </w:rPr>
        <w:t xml:space="preserve"> </w:t>
      </w:r>
      <w:r w:rsidRPr="00282178" w:rsidR="00D7261E">
        <w:rPr>
          <w:lang w:val="en-GB"/>
        </w:rPr>
        <w:t>The mere fact of an investigating authority</w:t>
      </w:r>
      <w:r w:rsidRPr="00282178" w:rsidR="00282178">
        <w:rPr>
          <w:lang w:val="en-GB"/>
        </w:rPr>
        <w:t>’</w:t>
      </w:r>
      <w:r w:rsidRPr="00282178" w:rsidR="00D7261E">
        <w:rPr>
          <w:lang w:val="en-GB"/>
        </w:rPr>
        <w:t>s refusal to open a criminal investigation into credible allegations of serious ill</w:t>
      </w:r>
      <w:r w:rsidRPr="00282178" w:rsidR="00D7261E">
        <w:rPr>
          <w:rFonts w:hint="eastAsia" w:ascii="MS Mincho" w:hAnsi="MS Mincho" w:eastAsia="MS Mincho" w:cs="MS Mincho"/>
          <w:lang w:val="en-GB"/>
        </w:rPr>
        <w:t>‑</w:t>
      </w:r>
      <w:r w:rsidRPr="00282178" w:rsidR="00D7261E">
        <w:rPr>
          <w:lang w:val="en-GB"/>
        </w:rPr>
        <w:t>treatment in police custody is indicative of the State</w:t>
      </w:r>
      <w:r w:rsidRPr="00282178" w:rsidR="00282178">
        <w:rPr>
          <w:rFonts w:ascii="Times New Roman" w:hAnsi="Times New Roman" w:cs="Times New Roman"/>
          <w:lang w:val="en-GB"/>
        </w:rPr>
        <w:t>’</w:t>
      </w:r>
      <w:r w:rsidRPr="00282178" w:rsidR="00D7261E">
        <w:rPr>
          <w:lang w:val="en-GB"/>
        </w:rPr>
        <w:t xml:space="preserve">s failure to comply with its obligation under Article 3 to carry out an effective investigation (see </w:t>
      </w:r>
      <w:r w:rsidRPr="00282178" w:rsidR="00D7261E">
        <w:rPr>
          <w:i/>
          <w:lang w:val="en-GB"/>
        </w:rPr>
        <w:t>Lyapin v. Russia</w:t>
      </w:r>
      <w:r w:rsidRPr="00282178" w:rsidR="00D7261E">
        <w:rPr>
          <w:lang w:val="en-GB"/>
        </w:rPr>
        <w:t xml:space="preserve">, no. 46956/09, §§ 129 and 132-36, 24 July 2014 and subsequent cases, in many of which the Government acknowledged a violation under the procedural aspect of Article 3, such as </w:t>
      </w:r>
      <w:r w:rsidRPr="00282178" w:rsidR="00D7261E">
        <w:rPr>
          <w:i/>
          <w:lang w:val="en-GB"/>
        </w:rPr>
        <w:t>Razzakov v. Russia</w:t>
      </w:r>
      <w:r w:rsidRPr="00282178" w:rsidR="00D7261E">
        <w:rPr>
          <w:lang w:val="en-GB"/>
        </w:rPr>
        <w:t>, no. 57519/09, §§</w:t>
      </w:r>
      <w:r w:rsidRPr="00282178" w:rsidR="000E042B">
        <w:rPr>
          <w:lang w:val="en-GB"/>
        </w:rPr>
        <w:t> </w:t>
      </w:r>
      <w:r w:rsidRPr="00282178" w:rsidR="00D7261E">
        <w:rPr>
          <w:lang w:val="en-GB"/>
        </w:rPr>
        <w:t>57</w:t>
      </w:r>
      <w:r w:rsidRPr="00282178" w:rsidR="00D7261E">
        <w:rPr>
          <w:rFonts w:hint="eastAsia" w:ascii="MS Mincho" w:hAnsi="MS Mincho" w:eastAsia="MS Mincho" w:cs="MS Mincho"/>
          <w:lang w:val="en-GB"/>
        </w:rPr>
        <w:t>‑</w:t>
      </w:r>
      <w:r w:rsidRPr="00282178" w:rsidR="00D7261E">
        <w:rPr>
          <w:lang w:val="en-GB"/>
        </w:rPr>
        <w:t xml:space="preserve">61, 5 February 2015; </w:t>
      </w:r>
      <w:r w:rsidRPr="00282178" w:rsidR="00D7261E">
        <w:rPr>
          <w:i/>
          <w:lang w:val="en-GB"/>
        </w:rPr>
        <w:t>Gorshchuk v. Russia</w:t>
      </w:r>
      <w:r w:rsidRPr="00282178" w:rsidR="00D7261E">
        <w:rPr>
          <w:lang w:val="en-GB"/>
        </w:rPr>
        <w:t xml:space="preserve">, no. 31316/09, </w:t>
      </w:r>
      <w:r w:rsidRPr="00282178" w:rsidR="00D7261E">
        <w:rPr>
          <w:rFonts w:ascii="Times New Roman" w:hAnsi="Times New Roman" w:cs="Times New Roman"/>
          <w:lang w:val="en-GB"/>
        </w:rPr>
        <w:t>§§</w:t>
      </w:r>
      <w:r w:rsidRPr="00282178" w:rsidR="000E042B">
        <w:rPr>
          <w:lang w:val="en-GB"/>
        </w:rPr>
        <w:t xml:space="preserve"> 35-38, 6 </w:t>
      </w:r>
      <w:r w:rsidRPr="00282178" w:rsidR="00D7261E">
        <w:rPr>
          <w:lang w:val="en-GB"/>
        </w:rPr>
        <w:t xml:space="preserve">October 2015; </w:t>
      </w:r>
      <w:r w:rsidRPr="00282178" w:rsidR="00D7261E">
        <w:rPr>
          <w:i/>
          <w:lang w:val="en-GB"/>
        </w:rPr>
        <w:t>Turbylev v. Russia</w:t>
      </w:r>
      <w:r w:rsidRPr="00282178" w:rsidR="00D7261E">
        <w:rPr>
          <w:lang w:val="en-GB"/>
        </w:rPr>
        <w:t xml:space="preserve">, no. 4722/09, </w:t>
      </w:r>
      <w:r w:rsidRPr="00282178" w:rsidR="00D7261E">
        <w:rPr>
          <w:rFonts w:ascii="Times New Roman" w:hAnsi="Times New Roman" w:cs="Times New Roman"/>
          <w:lang w:val="en-GB"/>
        </w:rPr>
        <w:t>§§</w:t>
      </w:r>
      <w:r w:rsidRPr="00282178" w:rsidR="00D7261E">
        <w:rPr>
          <w:lang w:val="en-GB"/>
        </w:rPr>
        <w:t xml:space="preserve"> 67-72, 6 October 2015; </w:t>
      </w:r>
      <w:r w:rsidRPr="00282178" w:rsidR="000E042B">
        <w:rPr>
          <w:i/>
          <w:lang w:val="en-GB"/>
        </w:rPr>
        <w:t>Fartushin v. Russia</w:t>
      </w:r>
      <w:r w:rsidRPr="00282178" w:rsidR="000E042B">
        <w:rPr>
          <w:lang w:val="en-GB"/>
        </w:rPr>
        <w:t>, no. 38887/09</w:t>
      </w:r>
      <w:r w:rsidRPr="00282178" w:rsidR="000E042B">
        <w:rPr>
          <w:snapToGrid w:val="0"/>
          <w:lang w:val="en-GB"/>
        </w:rPr>
        <w:t xml:space="preserve">, </w:t>
      </w:r>
      <w:r w:rsidRPr="00282178" w:rsidR="000E042B">
        <w:rPr>
          <w:rFonts w:ascii="Times New Roman" w:hAnsi="Times New Roman" w:cs="Times New Roman"/>
          <w:lang w:val="en-GB"/>
        </w:rPr>
        <w:t>§§</w:t>
      </w:r>
      <w:r w:rsidRPr="00282178" w:rsidR="000E042B">
        <w:rPr>
          <w:lang w:val="en-GB"/>
        </w:rPr>
        <w:t xml:space="preserve"> 44-45</w:t>
      </w:r>
      <w:r w:rsidRPr="00282178" w:rsidR="000E042B">
        <w:rPr>
          <w:snapToGrid w:val="0"/>
          <w:lang w:val="en-GB"/>
        </w:rPr>
        <w:t>, 8 October 2015;</w:t>
      </w:r>
      <w:r w:rsidRPr="00282178" w:rsidR="00D7261E">
        <w:rPr>
          <w:lang w:val="en-GB"/>
        </w:rPr>
        <w:t xml:space="preserve"> and </w:t>
      </w:r>
      <w:r w:rsidRPr="00282178" w:rsidR="00D7261E">
        <w:rPr>
          <w:i/>
          <w:lang w:val="en-GB"/>
        </w:rPr>
        <w:t>Aleksandr Andreyev v. Russia</w:t>
      </w:r>
      <w:r w:rsidRPr="00282178" w:rsidR="00D7261E">
        <w:rPr>
          <w:lang w:val="en-GB"/>
        </w:rPr>
        <w:t xml:space="preserve">, no. 2281/06, §§ 63-65, 23 February 2016). </w:t>
      </w:r>
      <w:r w:rsidRPr="00282178" w:rsidR="00F90B62">
        <w:rPr>
          <w:lang w:val="en-GB"/>
        </w:rPr>
        <w:t xml:space="preserve">A delay in opening a criminal case and conducting a criminal investigation in such cases cannot but </w:t>
      </w:r>
      <w:r w:rsidRPr="00282178" w:rsidR="00004FAE">
        <w:rPr>
          <w:lang w:val="en-GB"/>
        </w:rPr>
        <w:t xml:space="preserve">have </w:t>
      </w:r>
      <w:r w:rsidRPr="00282178" w:rsidR="00F90B62">
        <w:rPr>
          <w:lang w:val="en-GB"/>
        </w:rPr>
        <w:t>a significant adverse impact on the investigation, considerably undermining the investigating authority</w:t>
      </w:r>
      <w:r w:rsidRPr="00282178" w:rsidR="00282178">
        <w:rPr>
          <w:lang w:val="en-GB"/>
        </w:rPr>
        <w:t>’</w:t>
      </w:r>
      <w:r w:rsidRPr="00282178" w:rsidR="00F90B62">
        <w:rPr>
          <w:lang w:val="en-GB"/>
        </w:rPr>
        <w:t>s ability to secure evidence concerning the alleged ill</w:t>
      </w:r>
      <w:r w:rsidRPr="00282178" w:rsidR="00F90B62">
        <w:rPr>
          <w:lang w:val="en-GB"/>
        </w:rPr>
        <w:noBreakHyphen/>
        <w:t xml:space="preserve">treatment (see </w:t>
      </w:r>
      <w:r w:rsidRPr="00282178" w:rsidR="00F90B62">
        <w:rPr>
          <w:i/>
          <w:lang w:val="en-GB"/>
        </w:rPr>
        <w:t>Razzakov</w:t>
      </w:r>
      <w:r w:rsidRPr="00282178" w:rsidR="004269B9">
        <w:rPr>
          <w:lang w:val="en-GB"/>
        </w:rPr>
        <w:t xml:space="preserve">, </w:t>
      </w:r>
      <w:r w:rsidRPr="00282178" w:rsidR="006F45C8">
        <w:rPr>
          <w:lang w:val="en-GB"/>
        </w:rPr>
        <w:t>cited above</w:t>
      </w:r>
      <w:r w:rsidRPr="00282178" w:rsidR="006F45C8">
        <w:rPr>
          <w:snapToGrid w:val="0"/>
          <w:lang w:val="en-GB"/>
        </w:rPr>
        <w:t>, § </w:t>
      </w:r>
      <w:r w:rsidRPr="00282178" w:rsidR="00F90B62">
        <w:rPr>
          <w:snapToGrid w:val="0"/>
          <w:lang w:val="en-GB"/>
        </w:rPr>
        <w:t>61</w:t>
      </w:r>
      <w:r w:rsidRPr="00282178" w:rsidR="00F90B62">
        <w:rPr>
          <w:lang w:val="en-GB"/>
        </w:rPr>
        <w:t>).</w:t>
      </w:r>
    </w:p>
    <w:p w:rsidRPr="00282178" w:rsidR="004F3BB4"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52</w:t>
      </w:r>
      <w:r w:rsidRPr="00282178">
        <w:rPr>
          <w:lang w:val="en-GB"/>
        </w:rPr>
        <w:fldChar w:fldCharType="end"/>
      </w:r>
      <w:r w:rsidRPr="00282178" w:rsidR="00F90B62">
        <w:rPr>
          <w:lang w:val="en-GB"/>
        </w:rPr>
        <w:t>.  </w:t>
      </w:r>
      <w:r w:rsidRPr="00282178" w:rsidR="00630A1D">
        <w:rPr>
          <w:lang w:val="en-GB"/>
        </w:rPr>
        <w:t xml:space="preserve">The above findings are fully applicable to the present case. </w:t>
      </w:r>
      <w:r w:rsidRPr="00282178" w:rsidR="00F90B62">
        <w:rPr>
          <w:lang w:val="en-GB"/>
        </w:rPr>
        <w:t xml:space="preserve">As a result of </w:t>
      </w:r>
      <w:r w:rsidRPr="00282178" w:rsidR="006D02D2">
        <w:rPr>
          <w:lang w:val="en-GB"/>
        </w:rPr>
        <w:t xml:space="preserve">a delay of almost a year and nine months in </w:t>
      </w:r>
      <w:r w:rsidRPr="00282178" w:rsidR="00F90B62">
        <w:rPr>
          <w:lang w:val="en-GB"/>
        </w:rPr>
        <w:t>opening a criminal case,</w:t>
      </w:r>
      <w:r w:rsidRPr="00282178" w:rsidR="006D02D2">
        <w:rPr>
          <w:lang w:val="en-GB"/>
        </w:rPr>
        <w:t xml:space="preserve"> </w:t>
      </w:r>
      <w:r w:rsidRPr="00282178" w:rsidR="000C7211">
        <w:rPr>
          <w:lang w:val="en-GB"/>
        </w:rPr>
        <w:t xml:space="preserve">the applicant was given </w:t>
      </w:r>
      <w:r w:rsidRPr="00282178" w:rsidR="00004FAE">
        <w:rPr>
          <w:lang w:val="en-GB"/>
        </w:rPr>
        <w:t>the opportunity</w:t>
      </w:r>
      <w:r w:rsidRPr="00282178" w:rsidR="000C7211">
        <w:rPr>
          <w:lang w:val="en-GB"/>
        </w:rPr>
        <w:t xml:space="preserve"> to identify </w:t>
      </w:r>
      <w:r w:rsidRPr="00282178" w:rsidR="004F3BB4">
        <w:rPr>
          <w:lang w:val="en-GB"/>
        </w:rPr>
        <w:t xml:space="preserve">and confront </w:t>
      </w:r>
      <w:r w:rsidRPr="00282178" w:rsidR="000C7211">
        <w:rPr>
          <w:lang w:val="en-GB"/>
        </w:rPr>
        <w:t xml:space="preserve">those </w:t>
      </w:r>
      <w:r w:rsidRPr="00282178" w:rsidR="004F3BB4">
        <w:rPr>
          <w:lang w:val="en-GB"/>
        </w:rPr>
        <w:t xml:space="preserve">who might have been </w:t>
      </w:r>
      <w:r w:rsidRPr="00282178" w:rsidR="00004FAE">
        <w:rPr>
          <w:lang w:val="en-GB"/>
        </w:rPr>
        <w:t>involved</w:t>
      </w:r>
      <w:r w:rsidRPr="00282178" w:rsidR="004F3BB4">
        <w:rPr>
          <w:lang w:val="en-GB"/>
        </w:rPr>
        <w:t xml:space="preserve"> in his torture </w:t>
      </w:r>
      <w:r w:rsidRPr="00282178" w:rsidR="000C7211">
        <w:rPr>
          <w:lang w:val="en-GB"/>
        </w:rPr>
        <w:t xml:space="preserve">two years to two years and eight months after the events (see paragraphs </w:t>
      </w:r>
      <w:r w:rsidRPr="00282178" w:rsidR="00D95181">
        <w:rPr>
          <w:lang w:val="en-GB"/>
        </w:rPr>
        <w:t>17-20 and 23-24</w:t>
      </w:r>
      <w:r w:rsidRPr="00282178" w:rsidR="000C7211">
        <w:rPr>
          <w:lang w:val="en-GB"/>
        </w:rPr>
        <w:t xml:space="preserve"> above). The </w:t>
      </w:r>
      <w:r w:rsidRPr="00282178" w:rsidR="00EE5CA0">
        <w:rPr>
          <w:lang w:val="en-GB"/>
        </w:rPr>
        <w:t>room in question</w:t>
      </w:r>
      <w:r w:rsidRPr="00282178" w:rsidR="000C7211">
        <w:rPr>
          <w:lang w:val="en-GB"/>
        </w:rPr>
        <w:t xml:space="preserve"> was examined more than two years and </w:t>
      </w:r>
      <w:r w:rsidRPr="00282178" w:rsidR="004F3BB4">
        <w:rPr>
          <w:lang w:val="en-GB"/>
        </w:rPr>
        <w:t xml:space="preserve">seven months </w:t>
      </w:r>
      <w:r w:rsidRPr="00282178" w:rsidR="00F90B62">
        <w:rPr>
          <w:lang w:val="en-GB"/>
        </w:rPr>
        <w:t>after the alleged</w:t>
      </w:r>
      <w:r w:rsidRPr="00282178" w:rsidR="00D95181">
        <w:rPr>
          <w:lang w:val="en-GB"/>
        </w:rPr>
        <w:t xml:space="preserve"> ill-treatment (see paragraph 22</w:t>
      </w:r>
      <w:r w:rsidRPr="00282178" w:rsidR="00F90B62">
        <w:rPr>
          <w:lang w:val="en-GB"/>
        </w:rPr>
        <w:t xml:space="preserve"> above).</w:t>
      </w:r>
    </w:p>
    <w:p w:rsidRPr="00282178" w:rsidR="00EF650E" w:rsidP="00282178" w:rsidRDefault="009045ED">
      <w:pPr>
        <w:pStyle w:val="ECHRPara"/>
        <w:rPr>
          <w:i/>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53</w:t>
      </w:r>
      <w:r w:rsidRPr="00282178">
        <w:rPr>
          <w:lang w:val="en-GB"/>
        </w:rPr>
        <w:fldChar w:fldCharType="end"/>
      </w:r>
      <w:r w:rsidRPr="00282178" w:rsidR="00A149CF">
        <w:rPr>
          <w:lang w:val="en-GB"/>
        </w:rPr>
        <w:t>.  </w:t>
      </w:r>
      <w:r w:rsidRPr="00282178" w:rsidR="004F3BB4">
        <w:rPr>
          <w:lang w:val="en-GB"/>
        </w:rPr>
        <w:t>The Court</w:t>
      </w:r>
      <w:r w:rsidRPr="00282178" w:rsidR="00EE5CA0">
        <w:rPr>
          <w:lang w:val="en-GB"/>
        </w:rPr>
        <w:t xml:space="preserve"> also</w:t>
      </w:r>
      <w:r w:rsidRPr="00282178" w:rsidR="004F3BB4">
        <w:rPr>
          <w:lang w:val="en-GB"/>
        </w:rPr>
        <w:t xml:space="preserve"> observes that</w:t>
      </w:r>
      <w:r w:rsidRPr="00282178" w:rsidR="00C429C4">
        <w:rPr>
          <w:lang w:val="en-GB"/>
        </w:rPr>
        <w:t xml:space="preserve"> several police officers </w:t>
      </w:r>
      <w:r w:rsidRPr="00282178" w:rsidR="004F3BB4">
        <w:rPr>
          <w:lang w:val="en-GB"/>
        </w:rPr>
        <w:t xml:space="preserve">were found to have been present </w:t>
      </w:r>
      <w:r w:rsidRPr="00282178" w:rsidR="00490A9D">
        <w:rPr>
          <w:lang w:val="en-GB"/>
        </w:rPr>
        <w:t>during</w:t>
      </w:r>
      <w:r w:rsidRPr="00282178" w:rsidR="004F3BB4">
        <w:rPr>
          <w:lang w:val="en-GB"/>
        </w:rPr>
        <w:t xml:space="preserve"> </w:t>
      </w:r>
      <w:r w:rsidRPr="00282178" w:rsidR="00490A9D">
        <w:rPr>
          <w:lang w:val="en-GB"/>
        </w:rPr>
        <w:t xml:space="preserve">or carried out </w:t>
      </w:r>
      <w:r w:rsidRPr="00282178" w:rsidR="004F3BB4">
        <w:rPr>
          <w:lang w:val="en-GB"/>
        </w:rPr>
        <w:t>the applicant</w:t>
      </w:r>
      <w:r w:rsidRPr="00282178" w:rsidR="00282178">
        <w:rPr>
          <w:lang w:val="en-GB"/>
        </w:rPr>
        <w:t>’</w:t>
      </w:r>
      <w:r w:rsidRPr="00282178" w:rsidR="004F3BB4">
        <w:rPr>
          <w:lang w:val="en-GB"/>
        </w:rPr>
        <w:t>s interviews</w:t>
      </w:r>
      <w:r w:rsidRPr="00282178" w:rsidR="00004FAE">
        <w:rPr>
          <w:lang w:val="en-GB"/>
        </w:rPr>
        <w:t>, which</w:t>
      </w:r>
      <w:r w:rsidRPr="00282178" w:rsidR="00490A9D">
        <w:rPr>
          <w:lang w:val="en-GB"/>
        </w:rPr>
        <w:t xml:space="preserve"> </w:t>
      </w:r>
      <w:r w:rsidRPr="00282178" w:rsidR="004F3BB4">
        <w:rPr>
          <w:lang w:val="en-GB"/>
        </w:rPr>
        <w:t xml:space="preserve">took place during </w:t>
      </w:r>
      <w:r w:rsidRPr="00282178" w:rsidR="00004FAE">
        <w:rPr>
          <w:lang w:val="en-GB"/>
        </w:rPr>
        <w:t>his</w:t>
      </w:r>
      <w:r w:rsidRPr="00282178" w:rsidR="004F3BB4">
        <w:rPr>
          <w:lang w:val="en-GB"/>
        </w:rPr>
        <w:t xml:space="preserve"> arbitrary detention </w:t>
      </w:r>
      <w:r w:rsidRPr="00282178" w:rsidR="00C429C4">
        <w:rPr>
          <w:lang w:val="en-GB"/>
        </w:rPr>
        <w:t>at the police station</w:t>
      </w:r>
      <w:r w:rsidRPr="00282178" w:rsidR="0069064B">
        <w:rPr>
          <w:lang w:val="en-GB"/>
        </w:rPr>
        <w:t xml:space="preserve"> and</w:t>
      </w:r>
      <w:r w:rsidRPr="00282178" w:rsidR="00C429C4">
        <w:rPr>
          <w:lang w:val="en-GB"/>
        </w:rPr>
        <w:t xml:space="preserve"> </w:t>
      </w:r>
      <w:r w:rsidRPr="00282178" w:rsidR="00920032">
        <w:rPr>
          <w:lang w:val="en-GB"/>
        </w:rPr>
        <w:t xml:space="preserve">included </w:t>
      </w:r>
      <w:r w:rsidRPr="00282178" w:rsidR="00C429C4">
        <w:rPr>
          <w:lang w:val="en-GB"/>
        </w:rPr>
        <w:t>demands to confess to the crime</w:t>
      </w:r>
      <w:r w:rsidRPr="00282178" w:rsidR="0069064B">
        <w:rPr>
          <w:lang w:val="en-GB"/>
        </w:rPr>
        <w:t>,</w:t>
      </w:r>
      <w:r w:rsidRPr="00282178" w:rsidR="00C429C4">
        <w:rPr>
          <w:lang w:val="en-GB"/>
        </w:rPr>
        <w:t xml:space="preserve"> accompanied by acts of torture. </w:t>
      </w:r>
      <w:r w:rsidRPr="00282178" w:rsidR="00D14D69">
        <w:rPr>
          <w:lang w:val="en-GB"/>
        </w:rPr>
        <w:t>Despite the fact t</w:t>
      </w:r>
      <w:r w:rsidRPr="00282178" w:rsidR="004269B9">
        <w:rPr>
          <w:lang w:val="en-GB"/>
        </w:rPr>
        <w:t>he applicant had identified some of them as the culprits</w:t>
      </w:r>
      <w:r w:rsidRPr="00282178" w:rsidR="00D14D69">
        <w:rPr>
          <w:lang w:val="en-GB"/>
        </w:rPr>
        <w:t>, n</w:t>
      </w:r>
      <w:r w:rsidRPr="00282178" w:rsidR="00C429C4">
        <w:rPr>
          <w:lang w:val="en-GB"/>
        </w:rPr>
        <w:t>o charges were brought against the</w:t>
      </w:r>
      <w:r w:rsidRPr="00282178" w:rsidR="001250F7">
        <w:rPr>
          <w:lang w:val="en-GB"/>
        </w:rPr>
        <w:t>m</w:t>
      </w:r>
      <w:r w:rsidRPr="00282178" w:rsidR="00D14D69">
        <w:rPr>
          <w:lang w:val="en-GB"/>
        </w:rPr>
        <w:t xml:space="preserve"> (see </w:t>
      </w:r>
      <w:r w:rsidRPr="00282178" w:rsidR="00D14D69">
        <w:rPr>
          <w:i/>
          <w:lang w:val="en-GB"/>
        </w:rPr>
        <w:t xml:space="preserve">Selmouni v. France </w:t>
      </w:r>
      <w:r w:rsidRPr="00282178" w:rsidR="00D14D69">
        <w:rPr>
          <w:lang w:val="en-GB"/>
        </w:rPr>
        <w:t>[GC], no. 25803/94, § 78, ECHR 1999</w:t>
      </w:r>
      <w:r w:rsidRPr="00282178" w:rsidR="00D14D69">
        <w:rPr>
          <w:lang w:val="en-GB"/>
        </w:rPr>
        <w:noBreakHyphen/>
        <w:t>V)</w:t>
      </w:r>
      <w:r w:rsidRPr="00282178" w:rsidR="00DC4C6A">
        <w:rPr>
          <w:lang w:val="en-GB"/>
        </w:rPr>
        <w:t>.</w:t>
      </w:r>
      <w:r w:rsidRPr="00282178" w:rsidR="0069064B">
        <w:rPr>
          <w:lang w:val="en-GB"/>
        </w:rPr>
        <w:t xml:space="preserve"> </w:t>
      </w:r>
      <w:r w:rsidRPr="00282178" w:rsidR="00BF56C4">
        <w:rPr>
          <w:lang w:val="en-GB"/>
        </w:rPr>
        <w:t xml:space="preserve">In </w:t>
      </w:r>
      <w:r w:rsidRPr="00282178" w:rsidR="0002453A">
        <w:rPr>
          <w:lang w:val="en-GB"/>
        </w:rPr>
        <w:t xml:space="preserve">refusing to institute or </w:t>
      </w:r>
      <w:r w:rsidRPr="00282178" w:rsidR="00BF56C4">
        <w:rPr>
          <w:lang w:val="en-GB"/>
        </w:rPr>
        <w:t xml:space="preserve">discontinuing the </w:t>
      </w:r>
      <w:r w:rsidRPr="00282178" w:rsidR="0002453A">
        <w:rPr>
          <w:lang w:val="en-GB"/>
        </w:rPr>
        <w:t>criminal proceedings against the police officers</w:t>
      </w:r>
      <w:r w:rsidRPr="00282178" w:rsidR="001250F7">
        <w:rPr>
          <w:lang w:val="en-GB"/>
        </w:rPr>
        <w:t>,</w:t>
      </w:r>
      <w:r w:rsidRPr="00282178" w:rsidR="0002453A">
        <w:rPr>
          <w:lang w:val="en-GB"/>
        </w:rPr>
        <w:t xml:space="preserve"> the investigating authority relied heavily on the</w:t>
      </w:r>
      <w:r w:rsidRPr="00282178" w:rsidR="00490A9D">
        <w:rPr>
          <w:lang w:val="en-GB"/>
        </w:rPr>
        <w:t>ir</w:t>
      </w:r>
      <w:r w:rsidRPr="00282178" w:rsidR="0002453A">
        <w:rPr>
          <w:lang w:val="en-GB"/>
        </w:rPr>
        <w:t xml:space="preserve"> </w:t>
      </w:r>
      <w:r w:rsidRPr="00282178" w:rsidR="00490A9D">
        <w:rPr>
          <w:lang w:val="en-GB"/>
        </w:rPr>
        <w:t xml:space="preserve">statements denying </w:t>
      </w:r>
      <w:r w:rsidRPr="00282178" w:rsidR="00EE5CA0">
        <w:rPr>
          <w:lang w:val="en-GB"/>
        </w:rPr>
        <w:t>any</w:t>
      </w:r>
      <w:r w:rsidRPr="00282178" w:rsidR="00490A9D">
        <w:rPr>
          <w:lang w:val="en-GB"/>
        </w:rPr>
        <w:t xml:space="preserve"> ill-treatment</w:t>
      </w:r>
      <w:r w:rsidRPr="00282178" w:rsidR="00EE5CA0">
        <w:rPr>
          <w:lang w:val="en-GB"/>
        </w:rPr>
        <w:t xml:space="preserve"> of the applicant</w:t>
      </w:r>
      <w:r w:rsidRPr="00282178" w:rsidR="00490A9D">
        <w:rPr>
          <w:lang w:val="en-GB"/>
        </w:rPr>
        <w:t xml:space="preserve"> </w:t>
      </w:r>
      <w:r w:rsidRPr="00282178" w:rsidR="0002453A">
        <w:rPr>
          <w:lang w:val="en-GB"/>
        </w:rPr>
        <w:t xml:space="preserve">and did not </w:t>
      </w:r>
      <w:r w:rsidRPr="00282178" w:rsidR="00263D07">
        <w:rPr>
          <w:lang w:val="en-GB"/>
        </w:rPr>
        <w:t xml:space="preserve">give </w:t>
      </w:r>
      <w:r w:rsidRPr="00282178" w:rsidR="001A01CE">
        <w:rPr>
          <w:lang w:val="en-GB"/>
        </w:rPr>
        <w:t xml:space="preserve">any serious </w:t>
      </w:r>
      <w:r w:rsidRPr="00282178" w:rsidR="0002453A">
        <w:rPr>
          <w:lang w:val="en-GB"/>
        </w:rPr>
        <w:t xml:space="preserve">reasons </w:t>
      </w:r>
      <w:r w:rsidRPr="00282178" w:rsidR="001A01CE">
        <w:rPr>
          <w:lang w:val="en-GB"/>
        </w:rPr>
        <w:t xml:space="preserve">for discarding </w:t>
      </w:r>
      <w:r w:rsidRPr="00282178" w:rsidR="00EE5CA0">
        <w:rPr>
          <w:lang w:val="en-GB"/>
        </w:rPr>
        <w:t>his</w:t>
      </w:r>
      <w:r w:rsidRPr="00282178" w:rsidR="0002453A">
        <w:rPr>
          <w:lang w:val="en-GB"/>
        </w:rPr>
        <w:t xml:space="preserve"> </w:t>
      </w:r>
      <w:r w:rsidRPr="00282178" w:rsidR="00D14D69">
        <w:rPr>
          <w:lang w:val="en-GB"/>
        </w:rPr>
        <w:t>credible</w:t>
      </w:r>
      <w:r w:rsidRPr="00282178" w:rsidR="004269B9">
        <w:rPr>
          <w:lang w:val="en-GB"/>
        </w:rPr>
        <w:t xml:space="preserve"> allegations of ill</w:t>
      </w:r>
      <w:r w:rsidRPr="00282178" w:rsidR="004269B9">
        <w:rPr>
          <w:lang w:val="en-GB"/>
        </w:rPr>
        <w:noBreakHyphen/>
      </w:r>
      <w:r w:rsidRPr="00282178" w:rsidR="001A01CE">
        <w:rPr>
          <w:lang w:val="en-GB"/>
        </w:rPr>
        <w:t>treatment and evidence supporting them</w:t>
      </w:r>
      <w:r w:rsidRPr="00282178" w:rsidR="0002453A">
        <w:rPr>
          <w:lang w:val="en-GB"/>
        </w:rPr>
        <w:t>.</w:t>
      </w:r>
      <w:r w:rsidRPr="00282178" w:rsidR="00D14D69">
        <w:rPr>
          <w:lang w:val="en-GB"/>
        </w:rPr>
        <w:t xml:space="preserve"> The material of the case file does not suggest that the investigation</w:t>
      </w:r>
      <w:r w:rsidRPr="00282178" w:rsidR="00282178">
        <w:rPr>
          <w:lang w:val="en-GB"/>
        </w:rPr>
        <w:t>’</w:t>
      </w:r>
      <w:r w:rsidRPr="00282178" w:rsidR="00D14D69">
        <w:rPr>
          <w:lang w:val="en-GB"/>
        </w:rPr>
        <w:t xml:space="preserve">s conclusions were based on a thorough, objective and impartial analysis of all relevant elements (see </w:t>
      </w:r>
      <w:r w:rsidRPr="00282178" w:rsidR="00D14D69">
        <w:rPr>
          <w:i/>
          <w:lang w:val="en-GB"/>
        </w:rPr>
        <w:t>Kolevi v. Bulgaria</w:t>
      </w:r>
      <w:r w:rsidRPr="00282178" w:rsidR="00D14D69">
        <w:rPr>
          <w:lang w:val="en-GB"/>
        </w:rPr>
        <w:t xml:space="preserve">, no. 1108/02, § 192, 5 November 2009; and </w:t>
      </w:r>
      <w:r w:rsidRPr="00282178" w:rsidR="00D14D69">
        <w:rPr>
          <w:i/>
          <w:lang w:val="en-GB"/>
        </w:rPr>
        <w:t xml:space="preserve">Giuliani and Gaggio v. Italy </w:t>
      </w:r>
      <w:r w:rsidRPr="00282178" w:rsidR="00D14D69">
        <w:rPr>
          <w:lang w:val="en-GB"/>
        </w:rPr>
        <w:t>[GC], no. 23458/02, § 302, ECHR 2011 (extracts)).</w:t>
      </w:r>
    </w:p>
    <w:p w:rsidRPr="00282178" w:rsidR="009224A8"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54</w:t>
      </w:r>
      <w:r w:rsidRPr="00282178">
        <w:rPr>
          <w:lang w:val="en-GB"/>
        </w:rPr>
        <w:fldChar w:fldCharType="end"/>
      </w:r>
      <w:r w:rsidRPr="00282178" w:rsidR="00EF650E">
        <w:rPr>
          <w:lang w:val="en-GB"/>
        </w:rPr>
        <w:t xml:space="preserve">.  Having regard to the </w:t>
      </w:r>
      <w:r w:rsidRPr="00282178" w:rsidR="0043240E">
        <w:rPr>
          <w:lang w:val="en-GB"/>
        </w:rPr>
        <w:t>considerable</w:t>
      </w:r>
      <w:r w:rsidRPr="00282178" w:rsidR="00EF650E">
        <w:rPr>
          <w:lang w:val="en-GB"/>
        </w:rPr>
        <w:t xml:space="preserve"> delay in opening the criminal case and commencing a full criminal investigation, as well as the way the investigation was conducted thereafter, the Court </w:t>
      </w:r>
      <w:r w:rsidRPr="00282178" w:rsidR="00F3010B">
        <w:rPr>
          <w:lang w:val="en-GB"/>
        </w:rPr>
        <w:t>considers</w:t>
      </w:r>
      <w:r w:rsidRPr="00282178" w:rsidR="00EF650E">
        <w:rPr>
          <w:lang w:val="en-GB"/>
        </w:rPr>
        <w:t xml:space="preserve"> that </w:t>
      </w:r>
      <w:r w:rsidRPr="00282178" w:rsidR="00742109">
        <w:rPr>
          <w:lang w:val="en-GB"/>
        </w:rPr>
        <w:t xml:space="preserve">the investigation was not prompt and thorough and </w:t>
      </w:r>
      <w:r w:rsidRPr="00282178" w:rsidR="00A91206">
        <w:rPr>
          <w:lang w:val="en-GB"/>
        </w:rPr>
        <w:t xml:space="preserve">the proceedings showed a lack of </w:t>
      </w:r>
      <w:r w:rsidRPr="00282178" w:rsidR="00263D07">
        <w:rPr>
          <w:lang w:val="en-GB"/>
        </w:rPr>
        <w:t xml:space="preserve">will </w:t>
      </w:r>
      <w:r w:rsidRPr="00282178" w:rsidR="00A91206">
        <w:rPr>
          <w:lang w:val="en-GB"/>
        </w:rPr>
        <w:t>on the part of the authorities to hold</w:t>
      </w:r>
      <w:r w:rsidRPr="00282178" w:rsidR="00263D07">
        <w:rPr>
          <w:lang w:val="en-GB"/>
        </w:rPr>
        <w:t xml:space="preserve"> the</w:t>
      </w:r>
      <w:r w:rsidRPr="00282178" w:rsidR="00A91206">
        <w:rPr>
          <w:lang w:val="en-GB"/>
        </w:rPr>
        <w:t xml:space="preserve"> </w:t>
      </w:r>
      <w:r w:rsidRPr="00282178" w:rsidR="00742109">
        <w:rPr>
          <w:lang w:val="en-GB"/>
        </w:rPr>
        <w:t xml:space="preserve">police </w:t>
      </w:r>
      <w:r w:rsidRPr="00282178" w:rsidR="00A91206">
        <w:rPr>
          <w:lang w:val="en-GB"/>
        </w:rPr>
        <w:t xml:space="preserve">officers to account </w:t>
      </w:r>
      <w:r w:rsidRPr="00282178" w:rsidR="00742109">
        <w:rPr>
          <w:lang w:val="en-GB"/>
        </w:rPr>
        <w:t xml:space="preserve">(contrast </w:t>
      </w:r>
      <w:r w:rsidRPr="00282178" w:rsidR="00742109">
        <w:rPr>
          <w:i/>
          <w:lang w:val="en-GB"/>
        </w:rPr>
        <w:t>Myumyun v. Bulgaria</w:t>
      </w:r>
      <w:r w:rsidRPr="00282178" w:rsidR="00742109">
        <w:rPr>
          <w:lang w:val="en-GB"/>
        </w:rPr>
        <w:t>, no. 67258/13</w:t>
      </w:r>
      <w:r w:rsidRPr="00282178" w:rsidR="00742109">
        <w:rPr>
          <w:snapToGrid w:val="0"/>
          <w:lang w:val="en-GB"/>
        </w:rPr>
        <w:t>, § 72, 3 November 2015</w:t>
      </w:r>
      <w:r w:rsidRPr="00282178" w:rsidR="00742109">
        <w:rPr>
          <w:lang w:val="en-GB"/>
        </w:rPr>
        <w:t>). By failing in its duty to carry out an effective investigation, the State fostered the police officers</w:t>
      </w:r>
      <w:r w:rsidRPr="00282178" w:rsidR="00282178">
        <w:rPr>
          <w:lang w:val="en-GB"/>
        </w:rPr>
        <w:t>’</w:t>
      </w:r>
      <w:r w:rsidRPr="00282178" w:rsidR="00742109">
        <w:rPr>
          <w:lang w:val="en-GB"/>
        </w:rPr>
        <w:t xml:space="preserve"> sense of impunity. The Court stresses that a proper response by the authorities in investigating serious allegations of ill</w:t>
      </w:r>
      <w:r w:rsidRPr="00282178" w:rsidR="00742109">
        <w:rPr>
          <w:lang w:val="en-GB"/>
        </w:rPr>
        <w:noBreakHyphen/>
        <w:t xml:space="preserve">treatment at the hands of the police or other similar agents of the State in compliance with the Article 3 standards is essential in maintaining public confidence in their adherence to the rule of law and in preventing any appearance of collusion or tolerance of unlawful acts (see </w:t>
      </w:r>
      <w:r w:rsidRPr="00282178" w:rsidR="00742109">
        <w:rPr>
          <w:i/>
          <w:lang w:val="en-GB"/>
        </w:rPr>
        <w:t>Lyapin</w:t>
      </w:r>
      <w:r w:rsidRPr="00282178" w:rsidR="00742109">
        <w:rPr>
          <w:lang w:val="en-GB"/>
        </w:rPr>
        <w:t xml:space="preserve">, cited above, </w:t>
      </w:r>
      <w:r w:rsidRPr="00282178" w:rsidR="00742109">
        <w:rPr>
          <w:rFonts w:cstheme="minorHAnsi"/>
          <w:lang w:val="en-GB"/>
        </w:rPr>
        <w:t>§</w:t>
      </w:r>
      <w:r w:rsidRPr="00282178" w:rsidR="00742109">
        <w:rPr>
          <w:lang w:val="en-GB"/>
        </w:rPr>
        <w:t xml:space="preserve"> 139 with further references).</w:t>
      </w:r>
    </w:p>
    <w:p w:rsidRPr="00282178" w:rsidR="00C7200E" w:rsidP="00282178" w:rsidRDefault="00234D94">
      <w:pPr>
        <w:pStyle w:val="ECHRHeading4"/>
        <w:rPr>
          <w:lang w:val="en-GB"/>
        </w:rPr>
      </w:pPr>
      <w:r w:rsidRPr="00282178">
        <w:rPr>
          <w:lang w:val="en-GB"/>
        </w:rPr>
        <w:t>(</w:t>
      </w:r>
      <w:r w:rsidRPr="00282178" w:rsidR="0050135D">
        <w:rPr>
          <w:lang w:val="en-GB"/>
        </w:rPr>
        <w:t>c)</w:t>
      </w:r>
      <w:r w:rsidRPr="00282178" w:rsidR="00C7200E">
        <w:rPr>
          <w:lang w:val="en-GB"/>
        </w:rPr>
        <w:t>  </w:t>
      </w:r>
      <w:r w:rsidRPr="00282178" w:rsidR="00E8083E">
        <w:rPr>
          <w:lang w:val="en-GB"/>
        </w:rPr>
        <w:t xml:space="preserve">Whether </w:t>
      </w:r>
      <w:r w:rsidRPr="00282178" w:rsidR="00C7200E">
        <w:rPr>
          <w:lang w:val="en-GB"/>
        </w:rPr>
        <w:t xml:space="preserve">the applicant </w:t>
      </w:r>
      <w:r w:rsidRPr="00282178" w:rsidR="00E8083E">
        <w:rPr>
          <w:lang w:val="en-GB"/>
        </w:rPr>
        <w:t>lost his victim status</w:t>
      </w:r>
    </w:p>
    <w:p w:rsidRPr="00282178" w:rsidR="00F111D1"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55</w:t>
      </w:r>
      <w:r w:rsidRPr="00282178">
        <w:rPr>
          <w:lang w:val="en-GB"/>
        </w:rPr>
        <w:fldChar w:fldCharType="end"/>
      </w:r>
      <w:r w:rsidRPr="00282178" w:rsidR="00F3010B">
        <w:rPr>
          <w:lang w:val="en-GB"/>
        </w:rPr>
        <w:t>.  </w:t>
      </w:r>
      <w:r w:rsidRPr="00282178" w:rsidR="0050135D">
        <w:rPr>
          <w:lang w:val="en-GB"/>
        </w:rPr>
        <w:t xml:space="preserve">The Court reiterates that it falls first to the national authorities to redress any violation of the Convention. It </w:t>
      </w:r>
      <w:r w:rsidRPr="00282178" w:rsidR="001E0133">
        <w:rPr>
          <w:lang w:val="en-GB"/>
        </w:rPr>
        <w:t>welcomes the fact</w:t>
      </w:r>
      <w:r w:rsidRPr="00282178" w:rsidR="0050135D">
        <w:rPr>
          <w:lang w:val="en-GB"/>
        </w:rPr>
        <w:t xml:space="preserve"> that the domestic courts in the civil proceedings duly examined the applicant</w:t>
      </w:r>
      <w:r w:rsidRPr="00282178" w:rsidR="00282178">
        <w:rPr>
          <w:lang w:val="en-GB"/>
        </w:rPr>
        <w:t>’</w:t>
      </w:r>
      <w:r w:rsidRPr="00282178" w:rsidR="0050135D">
        <w:rPr>
          <w:lang w:val="en-GB"/>
        </w:rPr>
        <w:t>s case, established the State</w:t>
      </w:r>
      <w:r w:rsidRPr="00282178" w:rsidR="00282178">
        <w:rPr>
          <w:lang w:val="en-GB"/>
        </w:rPr>
        <w:t>’</w:t>
      </w:r>
      <w:r w:rsidRPr="00282178" w:rsidR="0050135D">
        <w:rPr>
          <w:lang w:val="en-GB"/>
        </w:rPr>
        <w:t>s liability for his ill-treatment and awarded him compensation</w:t>
      </w:r>
      <w:r w:rsidRPr="00282178" w:rsidR="004F5E21">
        <w:rPr>
          <w:lang w:val="en-GB"/>
        </w:rPr>
        <w:t xml:space="preserve">, regardless of the </w:t>
      </w:r>
      <w:r w:rsidRPr="00282178" w:rsidR="00F111D1">
        <w:rPr>
          <w:lang w:val="en-GB"/>
        </w:rPr>
        <w:t>fact that the guilt of those responsible for his ill-treatment had not been established in the criminal proceedings</w:t>
      </w:r>
      <w:r w:rsidRPr="00282178" w:rsidR="0050135D">
        <w:rPr>
          <w:lang w:val="en-GB"/>
        </w:rPr>
        <w:t>.</w:t>
      </w:r>
    </w:p>
    <w:p w:rsidRPr="00282178" w:rsidR="005E78AA"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56</w:t>
      </w:r>
      <w:r w:rsidRPr="00282178">
        <w:rPr>
          <w:lang w:val="en-GB"/>
        </w:rPr>
        <w:fldChar w:fldCharType="end"/>
      </w:r>
      <w:r w:rsidRPr="00282178" w:rsidR="00F111D1">
        <w:rPr>
          <w:lang w:val="en-GB"/>
        </w:rPr>
        <w:t>.  </w:t>
      </w:r>
      <w:r w:rsidRPr="00282178" w:rsidR="0050135D">
        <w:rPr>
          <w:lang w:val="en-GB"/>
        </w:rPr>
        <w:t>However, in cases of wilful ill-treatment by St</w:t>
      </w:r>
      <w:r w:rsidRPr="00282178" w:rsidR="00F111D1">
        <w:rPr>
          <w:lang w:val="en-GB"/>
        </w:rPr>
        <w:t>ate agents in breach of Article </w:t>
      </w:r>
      <w:r w:rsidRPr="00282178" w:rsidR="0050135D">
        <w:rPr>
          <w:lang w:val="en-GB"/>
        </w:rPr>
        <w:t>3, the Court has repeatedly found that, in addition to acknowledg</w:t>
      </w:r>
      <w:r w:rsidRPr="00282178" w:rsidR="001E0133">
        <w:rPr>
          <w:lang w:val="en-GB"/>
        </w:rPr>
        <w:t>ing</w:t>
      </w:r>
      <w:r w:rsidRPr="00282178" w:rsidR="0050135D">
        <w:rPr>
          <w:lang w:val="en-GB"/>
        </w:rPr>
        <w:t xml:space="preserve"> of the violation, two measures are necessary to provide sufficient redress. Firstly, the State authorities must have conducted a thorough and effective investigation capable of leading to the identification and punishment of those responsible. Secondly, an award of compensation is required where appropriate or, at least, the </w:t>
      </w:r>
      <w:r w:rsidRPr="00282178" w:rsidR="001E0133">
        <w:rPr>
          <w:lang w:val="en-GB"/>
        </w:rPr>
        <w:t>opportunity to</w:t>
      </w:r>
      <w:r w:rsidRPr="00282178" w:rsidR="0050135D">
        <w:rPr>
          <w:lang w:val="en-GB"/>
        </w:rPr>
        <w:t xml:space="preserve"> </w:t>
      </w:r>
      <w:r w:rsidRPr="00282178" w:rsidR="001E0133">
        <w:rPr>
          <w:lang w:val="en-GB"/>
        </w:rPr>
        <w:t xml:space="preserve">apply for </w:t>
      </w:r>
      <w:r w:rsidRPr="00282178" w:rsidR="0050135D">
        <w:rPr>
          <w:lang w:val="en-GB"/>
        </w:rPr>
        <w:t xml:space="preserve">and obtain compensation for the damage sustained as a result of the ill-treatment (see </w:t>
      </w:r>
      <w:r w:rsidRPr="00282178" w:rsidR="0050135D">
        <w:rPr>
          <w:i/>
          <w:lang w:val="en-GB"/>
        </w:rPr>
        <w:t>Gäfgen</w:t>
      </w:r>
      <w:r w:rsidRPr="00282178" w:rsidR="00337AF3">
        <w:rPr>
          <w:lang w:val="en-GB"/>
        </w:rPr>
        <w:t>, cited above</w:t>
      </w:r>
      <w:r w:rsidRPr="00282178" w:rsidR="0050135D">
        <w:rPr>
          <w:lang w:val="en-GB"/>
        </w:rPr>
        <w:t>, § 116). In cases of wilful ill-treatment by State agents, a breach of Article 3 cannot be remedied only by an award of compensation to the victim because, if the authorities could confine their reaction to incidents of wilful ill-treatment by State agents to the mere payment of compensation, while not doing enough to prosecute and punish those responsible, it would be possible in some cases for agents of the State to abuse the rights of those within their control with virtual impunity</w:t>
      </w:r>
      <w:r w:rsidRPr="00282178" w:rsidR="001E0133">
        <w:rPr>
          <w:lang w:val="en-GB"/>
        </w:rPr>
        <w:t>. T</w:t>
      </w:r>
      <w:r w:rsidRPr="00282178" w:rsidR="0050135D">
        <w:rPr>
          <w:lang w:val="en-GB"/>
        </w:rPr>
        <w:t xml:space="preserve">he general legal prohibition </w:t>
      </w:r>
      <w:r w:rsidRPr="00282178" w:rsidR="001E0133">
        <w:rPr>
          <w:lang w:val="en-GB"/>
        </w:rPr>
        <w:t xml:space="preserve">on </w:t>
      </w:r>
      <w:r w:rsidRPr="00282178" w:rsidR="0050135D">
        <w:rPr>
          <w:lang w:val="en-GB"/>
        </w:rPr>
        <w:t xml:space="preserve">torture and inhuman and degrading treatment, despite its fundamental importance, would </w:t>
      </w:r>
      <w:r w:rsidRPr="00282178" w:rsidR="00BA6385">
        <w:rPr>
          <w:lang w:val="en-GB"/>
        </w:rPr>
        <w:t xml:space="preserve">thus </w:t>
      </w:r>
      <w:r w:rsidRPr="00282178" w:rsidR="0050135D">
        <w:rPr>
          <w:lang w:val="en-GB"/>
        </w:rPr>
        <w:t xml:space="preserve">be ineffective in practice (see </w:t>
      </w:r>
      <w:r w:rsidRPr="00282178" w:rsidR="0050135D">
        <w:rPr>
          <w:i/>
          <w:lang w:val="en-GB"/>
        </w:rPr>
        <w:t>Vladimir Romanov v. Russia</w:t>
      </w:r>
      <w:r w:rsidRPr="00282178" w:rsidR="0050135D">
        <w:rPr>
          <w:lang w:val="en-GB"/>
        </w:rPr>
        <w:t>, no. 41461/02, § 78, 24 July 2008</w:t>
      </w:r>
      <w:r w:rsidRPr="00282178" w:rsidR="001E0133">
        <w:rPr>
          <w:lang w:val="en-GB"/>
        </w:rPr>
        <w:t xml:space="preserve">, </w:t>
      </w:r>
      <w:r w:rsidRPr="00282178" w:rsidR="004830CF">
        <w:rPr>
          <w:lang w:val="en-GB"/>
        </w:rPr>
        <w:t xml:space="preserve">and </w:t>
      </w:r>
      <w:r w:rsidRPr="00282178" w:rsidR="0050135D">
        <w:rPr>
          <w:i/>
          <w:lang w:val="en-GB"/>
        </w:rPr>
        <w:t>Gäfgen</w:t>
      </w:r>
      <w:r w:rsidRPr="00282178" w:rsidR="004830CF">
        <w:rPr>
          <w:lang w:val="en-GB"/>
        </w:rPr>
        <w:t>, cited above, § 119</w:t>
      </w:r>
      <w:r w:rsidRPr="00282178" w:rsidR="0050135D">
        <w:rPr>
          <w:lang w:val="en-GB"/>
        </w:rPr>
        <w:t>).</w:t>
      </w:r>
      <w:r w:rsidRPr="00282178" w:rsidR="00016840">
        <w:rPr>
          <w:lang w:val="en-GB"/>
        </w:rPr>
        <w:t xml:space="preserve"> That is why award</w:t>
      </w:r>
      <w:r w:rsidRPr="00282178" w:rsidR="00BA6385">
        <w:rPr>
          <w:lang w:val="en-GB"/>
        </w:rPr>
        <w:t>ing</w:t>
      </w:r>
      <w:r w:rsidRPr="00282178" w:rsidR="00016840">
        <w:rPr>
          <w:lang w:val="en-GB"/>
        </w:rPr>
        <w:t xml:space="preserve"> compensation to the applicant for the damage which he sustained as a result of the ill</w:t>
      </w:r>
      <w:r w:rsidRPr="00282178" w:rsidR="00016840">
        <w:rPr>
          <w:lang w:val="en-GB"/>
        </w:rPr>
        <w:noBreakHyphen/>
        <w:t>treatment is only part of the overall action required (</w:t>
      </w:r>
      <w:r w:rsidRPr="00282178" w:rsidR="008B310D">
        <w:rPr>
          <w:lang w:val="en-GB"/>
        </w:rPr>
        <w:t xml:space="preserve">see </w:t>
      </w:r>
      <w:r w:rsidRPr="00282178" w:rsidR="004830CF">
        <w:rPr>
          <w:i/>
          <w:lang w:val="en-GB"/>
        </w:rPr>
        <w:t>Cestaro v.</w:t>
      </w:r>
      <w:r w:rsidRPr="00282178" w:rsidR="007B3809">
        <w:rPr>
          <w:i/>
          <w:lang w:val="en-GB"/>
        </w:rPr>
        <w:t> </w:t>
      </w:r>
      <w:r w:rsidRPr="00282178" w:rsidR="004830CF">
        <w:rPr>
          <w:i/>
          <w:lang w:val="en-GB"/>
        </w:rPr>
        <w:t>Italy</w:t>
      </w:r>
      <w:r w:rsidRPr="00282178" w:rsidR="00CA4FB9">
        <w:rPr>
          <w:lang w:val="en-GB"/>
        </w:rPr>
        <w:t>, no. 6884/11, § </w:t>
      </w:r>
      <w:r w:rsidRPr="00282178" w:rsidR="004830CF">
        <w:rPr>
          <w:lang w:val="en-GB"/>
        </w:rPr>
        <w:t>231, 7 April 2015</w:t>
      </w:r>
      <w:r w:rsidRPr="00282178" w:rsidR="00016840">
        <w:rPr>
          <w:lang w:val="en-GB"/>
        </w:rPr>
        <w:t>).</w:t>
      </w:r>
      <w:r w:rsidRPr="00282178" w:rsidR="00962273">
        <w:rPr>
          <w:lang w:val="en-GB"/>
        </w:rPr>
        <w:t xml:space="preserve"> </w:t>
      </w:r>
      <w:r w:rsidRPr="00282178" w:rsidR="005E78AA">
        <w:rPr>
          <w:lang w:val="en-GB"/>
        </w:rPr>
        <w:t xml:space="preserve">The fact that the domestic authorities did not carry out an effective investigation (see paragraph </w:t>
      </w:r>
      <w:r w:rsidRPr="00282178" w:rsidR="00DE3CD4">
        <w:rPr>
          <w:lang w:val="en-GB"/>
        </w:rPr>
        <w:t>54</w:t>
      </w:r>
      <w:r w:rsidRPr="00282178" w:rsidR="005E78AA">
        <w:rPr>
          <w:lang w:val="en-GB"/>
        </w:rPr>
        <w:t xml:space="preserve"> above) is decisive for the purposes of the question of whether the applicant lost his victim status (</w:t>
      </w:r>
      <w:r w:rsidRPr="00282178" w:rsidR="005E78AA">
        <w:rPr>
          <w:i/>
          <w:lang w:val="en-GB"/>
        </w:rPr>
        <w:t>ibid.,</w:t>
      </w:r>
      <w:r w:rsidRPr="00282178" w:rsidR="005E78AA">
        <w:rPr>
          <w:lang w:val="en-GB"/>
        </w:rPr>
        <w:t xml:space="preserve"> § 229).</w:t>
      </w:r>
    </w:p>
    <w:p w:rsidRPr="00282178" w:rsidR="00E038E1"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57</w:t>
      </w:r>
      <w:r w:rsidRPr="00282178">
        <w:rPr>
          <w:lang w:val="en-GB"/>
        </w:rPr>
        <w:fldChar w:fldCharType="end"/>
      </w:r>
      <w:r w:rsidRPr="00282178" w:rsidR="005E78AA">
        <w:rPr>
          <w:lang w:val="en-GB"/>
        </w:rPr>
        <w:t>.  </w:t>
      </w:r>
      <w:r w:rsidRPr="00282178" w:rsidR="00873C59">
        <w:rPr>
          <w:lang w:val="en-GB"/>
        </w:rPr>
        <w:t xml:space="preserve">The </w:t>
      </w:r>
      <w:r w:rsidRPr="00282178" w:rsidR="00E038E1">
        <w:rPr>
          <w:lang w:val="en-GB"/>
        </w:rPr>
        <w:t>assessment of the State authorities</w:t>
      </w:r>
      <w:r w:rsidRPr="00282178" w:rsidR="00282178">
        <w:rPr>
          <w:lang w:val="en-GB"/>
        </w:rPr>
        <w:t>’</w:t>
      </w:r>
      <w:r w:rsidRPr="00282178" w:rsidR="00E038E1">
        <w:rPr>
          <w:lang w:val="en-GB"/>
        </w:rPr>
        <w:t xml:space="preserve"> response </w:t>
      </w:r>
      <w:r w:rsidRPr="00282178" w:rsidR="002D47DC">
        <w:rPr>
          <w:lang w:val="en-GB"/>
        </w:rPr>
        <w:t xml:space="preserve">– </w:t>
      </w:r>
      <w:r w:rsidRPr="00282178" w:rsidR="00B808AF">
        <w:rPr>
          <w:lang w:val="en-GB"/>
        </w:rPr>
        <w:t xml:space="preserve">by way of the criminal-law procedure </w:t>
      </w:r>
      <w:r w:rsidRPr="00282178" w:rsidR="002D47DC">
        <w:rPr>
          <w:lang w:val="en-GB"/>
        </w:rPr>
        <w:t xml:space="preserve">– </w:t>
      </w:r>
      <w:r w:rsidRPr="00282178" w:rsidR="00E038E1">
        <w:rPr>
          <w:lang w:val="en-GB"/>
        </w:rPr>
        <w:t>to the applicant</w:t>
      </w:r>
      <w:r w:rsidRPr="00282178" w:rsidR="00282178">
        <w:rPr>
          <w:lang w:val="en-GB"/>
        </w:rPr>
        <w:t>’</w:t>
      </w:r>
      <w:r w:rsidRPr="00282178" w:rsidR="00E038E1">
        <w:rPr>
          <w:lang w:val="en-GB"/>
        </w:rPr>
        <w:t xml:space="preserve">s credible allegations of police </w:t>
      </w:r>
      <w:r w:rsidRPr="00282178" w:rsidR="00B808AF">
        <w:rPr>
          <w:lang w:val="en-GB"/>
        </w:rPr>
        <w:t>ill</w:t>
      </w:r>
      <w:r w:rsidRPr="00282178" w:rsidR="00B808AF">
        <w:rPr>
          <w:lang w:val="en-GB"/>
        </w:rPr>
        <w:noBreakHyphen/>
      </w:r>
      <w:r w:rsidRPr="00282178" w:rsidR="00E038E1">
        <w:rPr>
          <w:lang w:val="en-GB"/>
        </w:rPr>
        <w:t xml:space="preserve">treatment brings the </w:t>
      </w:r>
      <w:r w:rsidRPr="00282178" w:rsidR="00873C59">
        <w:rPr>
          <w:lang w:val="en-GB"/>
        </w:rPr>
        <w:t xml:space="preserve">Court </w:t>
      </w:r>
      <w:r w:rsidRPr="00282178" w:rsidR="00E038E1">
        <w:rPr>
          <w:lang w:val="en-GB"/>
        </w:rPr>
        <w:t>to the conclusion that the State authorities have failed to conduct a thorough and effective investigation capable of leading to the identification and punishment of those responsible (see paragraphs 49</w:t>
      </w:r>
      <w:r w:rsidRPr="00282178" w:rsidR="00DE3CD4">
        <w:rPr>
          <w:lang w:val="en-GB"/>
        </w:rPr>
        <w:t>-54</w:t>
      </w:r>
      <w:r w:rsidRPr="00282178" w:rsidR="00E038E1">
        <w:rPr>
          <w:lang w:val="en-GB"/>
        </w:rPr>
        <w:t xml:space="preserve"> above).</w:t>
      </w:r>
    </w:p>
    <w:p w:rsidRPr="00282178" w:rsidR="00F72936" w:rsidP="00282178" w:rsidRDefault="009045ED">
      <w:pPr>
        <w:pStyle w:val="ECHRPara"/>
        <w:rPr>
          <w:bCs/>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58</w:t>
      </w:r>
      <w:r w:rsidRPr="00282178">
        <w:rPr>
          <w:lang w:val="en-GB"/>
        </w:rPr>
        <w:fldChar w:fldCharType="end"/>
      </w:r>
      <w:r w:rsidRPr="00282178" w:rsidR="00E038E1">
        <w:rPr>
          <w:lang w:val="en-GB"/>
        </w:rPr>
        <w:t xml:space="preserve">.  As regards an award of compensation, the Court </w:t>
      </w:r>
      <w:r w:rsidRPr="00282178" w:rsidR="00B808AF">
        <w:rPr>
          <w:lang w:val="en-GB"/>
        </w:rPr>
        <w:t xml:space="preserve">reiterates </w:t>
      </w:r>
      <w:r w:rsidRPr="00282178" w:rsidR="005270D4">
        <w:rPr>
          <w:bCs/>
          <w:lang w:val="en-GB"/>
        </w:rPr>
        <w:t>that in the case of a breach of Articles 2 and 3 of the Convention, which rank as the most fundamental provisions of the Convention, compensation for the non</w:t>
      </w:r>
      <w:r w:rsidRPr="00282178" w:rsidR="005270D4">
        <w:rPr>
          <w:bCs/>
          <w:lang w:val="en-GB"/>
        </w:rPr>
        <w:noBreakHyphen/>
        <w:t>pecuniary damage flowing from the breach should in principle be part of the range of available remedies (</w:t>
      </w:r>
      <w:r w:rsidRPr="00282178" w:rsidR="009E7E0F">
        <w:rPr>
          <w:bCs/>
          <w:i/>
          <w:lang w:val="en-GB"/>
        </w:rPr>
        <w:t xml:space="preserve">Z and Others v. the United Kingdom </w:t>
      </w:r>
      <w:r w:rsidRPr="00282178" w:rsidR="009E7E0F">
        <w:rPr>
          <w:bCs/>
          <w:lang w:val="en-GB"/>
        </w:rPr>
        <w:t>[GC], no. 29392/95, § 109, ECHR 2001</w:t>
      </w:r>
      <w:r w:rsidRPr="00282178" w:rsidR="009E7E0F">
        <w:rPr>
          <w:bCs/>
          <w:lang w:val="en-GB"/>
        </w:rPr>
        <w:noBreakHyphen/>
        <w:t>V</w:t>
      </w:r>
      <w:r w:rsidRPr="00282178" w:rsidR="005270D4">
        <w:rPr>
          <w:bCs/>
          <w:lang w:val="en-GB"/>
        </w:rPr>
        <w:t xml:space="preserve">; </w:t>
      </w:r>
      <w:r w:rsidRPr="00282178" w:rsidR="005270D4">
        <w:rPr>
          <w:bCs/>
          <w:i/>
          <w:lang w:val="en-GB"/>
        </w:rPr>
        <w:t>McGlinchey and Others v. the United Kingdom</w:t>
      </w:r>
      <w:r w:rsidRPr="00282178" w:rsidR="005270D4">
        <w:rPr>
          <w:bCs/>
          <w:lang w:val="en-GB"/>
        </w:rPr>
        <w:t>,</w:t>
      </w:r>
      <w:r w:rsidRPr="00282178" w:rsidR="005270D4">
        <w:rPr>
          <w:bCs/>
          <w:i/>
          <w:lang w:val="en-GB"/>
        </w:rPr>
        <w:t xml:space="preserve"> </w:t>
      </w:r>
      <w:r w:rsidRPr="00282178" w:rsidR="005270D4">
        <w:rPr>
          <w:bCs/>
          <w:lang w:val="en-GB"/>
        </w:rPr>
        <w:t>no. 50390/99, § 66, ECHR 2003</w:t>
      </w:r>
      <w:r w:rsidRPr="00282178" w:rsidR="005270D4">
        <w:rPr>
          <w:bCs/>
          <w:lang w:val="en-GB"/>
        </w:rPr>
        <w:noBreakHyphen/>
        <w:t xml:space="preserve">V; </w:t>
      </w:r>
      <w:r w:rsidRPr="00282178" w:rsidR="005270D4">
        <w:rPr>
          <w:bCs/>
          <w:i/>
          <w:lang w:val="en-GB"/>
        </w:rPr>
        <w:t xml:space="preserve">Stanev v. Bulgaria </w:t>
      </w:r>
      <w:r w:rsidRPr="00282178" w:rsidR="005270D4">
        <w:rPr>
          <w:bCs/>
          <w:lang w:val="en-GB"/>
        </w:rPr>
        <w:t xml:space="preserve">[GC], no. 36760/06, § 218, ECHR 2012; and </w:t>
      </w:r>
      <w:r w:rsidRPr="00282178" w:rsidR="005270D4">
        <w:rPr>
          <w:bCs/>
          <w:i/>
          <w:lang w:val="en-GB"/>
        </w:rPr>
        <w:t>Lenev v. Bulgaria</w:t>
      </w:r>
      <w:r w:rsidRPr="00282178" w:rsidR="00CA4FB9">
        <w:rPr>
          <w:bCs/>
          <w:lang w:val="en-GB"/>
        </w:rPr>
        <w:t>, no. </w:t>
      </w:r>
      <w:r w:rsidRPr="00282178" w:rsidR="005270D4">
        <w:rPr>
          <w:bCs/>
          <w:lang w:val="en-GB"/>
        </w:rPr>
        <w:t>41452/07, § 128, 4 December 2012). T</w:t>
      </w:r>
      <w:r w:rsidRPr="00282178" w:rsidR="00B808AF">
        <w:rPr>
          <w:bCs/>
          <w:lang w:val="en-GB"/>
        </w:rPr>
        <w:t xml:space="preserve">he question of whether the applicant received compensation for the damage caused by the treatment contrary to Article 3 – comparable to just satisfaction as provided for under Article 41 of the Convention – is an important indicator for assessing whether the breach of the Convention was redressed (see </w:t>
      </w:r>
      <w:r w:rsidRPr="00282178" w:rsidR="00B808AF">
        <w:rPr>
          <w:bCs/>
          <w:i/>
          <w:lang w:val="en-GB"/>
        </w:rPr>
        <w:t>Kopylov v. Russia</w:t>
      </w:r>
      <w:r w:rsidRPr="00282178" w:rsidR="00B808AF">
        <w:rPr>
          <w:bCs/>
          <w:lang w:val="en-GB"/>
        </w:rPr>
        <w:t>, no. 3933/04, § 143, 29 July 2010).</w:t>
      </w:r>
    </w:p>
    <w:p w:rsidRPr="00282178" w:rsidR="00F72936" w:rsidP="00282178" w:rsidRDefault="00B808AF">
      <w:pPr>
        <w:pStyle w:val="ECHRPara"/>
        <w:rPr>
          <w:bCs/>
          <w:i/>
          <w:lang w:val="en-GB"/>
        </w:rPr>
      </w:pPr>
      <w:r w:rsidRPr="00282178">
        <w:rPr>
          <w:bCs/>
          <w:lang w:val="en-GB"/>
        </w:rPr>
        <w:fldChar w:fldCharType="begin"/>
      </w:r>
      <w:r w:rsidRPr="00282178">
        <w:rPr>
          <w:bCs/>
          <w:lang w:val="en-GB"/>
        </w:rPr>
        <w:instrText xml:space="preserve"> SEQ level0 \*arabic </w:instrText>
      </w:r>
      <w:r w:rsidRPr="00282178">
        <w:rPr>
          <w:bCs/>
          <w:lang w:val="en-GB"/>
        </w:rPr>
        <w:fldChar w:fldCharType="separate"/>
      </w:r>
      <w:r w:rsidRPr="00282178" w:rsidR="00282178">
        <w:rPr>
          <w:bCs/>
          <w:noProof/>
          <w:lang w:val="en-GB"/>
        </w:rPr>
        <w:t>59</w:t>
      </w:r>
      <w:r w:rsidRPr="00282178">
        <w:rPr>
          <w:bCs/>
          <w:lang w:val="en-GB"/>
        </w:rPr>
        <w:fldChar w:fldCharType="end"/>
      </w:r>
      <w:r w:rsidRPr="00282178">
        <w:rPr>
          <w:bCs/>
          <w:lang w:val="en-GB"/>
        </w:rPr>
        <w:t xml:space="preserve">.  In assessing the amount of compensation awarded by a domestic court, the Court considers, on the basis of the material in its possession, what it would have done in the same position (see, </w:t>
      </w:r>
      <w:r w:rsidRPr="00282178">
        <w:rPr>
          <w:bCs/>
          <w:i/>
          <w:lang w:val="en-GB"/>
        </w:rPr>
        <w:t>mutatis mutandis</w:t>
      </w:r>
      <w:r w:rsidRPr="00282178">
        <w:rPr>
          <w:bCs/>
          <w:lang w:val="en-GB"/>
        </w:rPr>
        <w:t xml:space="preserve">, </w:t>
      </w:r>
      <w:r w:rsidRPr="00282178">
        <w:rPr>
          <w:bCs/>
          <w:i/>
          <w:lang w:val="en-GB"/>
        </w:rPr>
        <w:t xml:space="preserve">Scordino v. </w:t>
      </w:r>
      <w:r w:rsidRPr="00282178">
        <w:rPr>
          <w:bCs/>
          <w:i/>
          <w:iCs/>
          <w:lang w:val="en-GB"/>
        </w:rPr>
        <w:t xml:space="preserve">Italy (no. 1) </w:t>
      </w:r>
      <w:r w:rsidRPr="00282178">
        <w:rPr>
          <w:bCs/>
          <w:lang w:val="en-GB"/>
        </w:rPr>
        <w:t>[GC], no. 36813/97, § 211, ECHR 2006</w:t>
      </w:r>
      <w:r w:rsidRPr="00282178">
        <w:rPr>
          <w:bCs/>
          <w:lang w:val="en-GB"/>
        </w:rPr>
        <w:noBreakHyphen/>
        <w:t xml:space="preserve">V; </w:t>
      </w:r>
      <w:r w:rsidRPr="00282178">
        <w:rPr>
          <w:bCs/>
          <w:i/>
          <w:lang w:val="en-GB"/>
        </w:rPr>
        <w:t>Sergey Vasilyev</w:t>
      </w:r>
      <w:r w:rsidRPr="00282178">
        <w:rPr>
          <w:bCs/>
          <w:lang w:val="en-GB"/>
        </w:rPr>
        <w:t xml:space="preserve"> </w:t>
      </w:r>
      <w:r w:rsidRPr="00282178">
        <w:rPr>
          <w:bCs/>
          <w:i/>
          <w:lang w:val="en-GB"/>
        </w:rPr>
        <w:t>v. Russia</w:t>
      </w:r>
      <w:r w:rsidRPr="00282178">
        <w:rPr>
          <w:bCs/>
          <w:lang w:val="en-GB"/>
        </w:rPr>
        <w:t xml:space="preserve">, no. 33023/07, § 49, 17 October 2013; </w:t>
      </w:r>
      <w:r w:rsidRPr="00282178">
        <w:rPr>
          <w:bCs/>
          <w:i/>
          <w:lang w:val="en-GB"/>
        </w:rPr>
        <w:t>Zenkov v. Russia</w:t>
      </w:r>
      <w:r w:rsidRPr="00282178" w:rsidR="00CA4FB9">
        <w:rPr>
          <w:bCs/>
          <w:lang w:val="en-GB"/>
        </w:rPr>
        <w:t>, no. </w:t>
      </w:r>
      <w:r w:rsidRPr="00282178">
        <w:rPr>
          <w:bCs/>
          <w:lang w:val="en-GB"/>
        </w:rPr>
        <w:t xml:space="preserve">37858/08, § 52, 30 April 2014; and </w:t>
      </w:r>
      <w:r w:rsidRPr="00282178">
        <w:rPr>
          <w:bCs/>
          <w:i/>
          <w:lang w:val="en-GB"/>
        </w:rPr>
        <w:t>Smetanko v. Russia</w:t>
      </w:r>
      <w:r w:rsidRPr="00282178" w:rsidR="00CA4FB9">
        <w:rPr>
          <w:bCs/>
          <w:lang w:val="en-GB"/>
        </w:rPr>
        <w:t>, no. </w:t>
      </w:r>
      <w:r w:rsidRPr="00282178">
        <w:rPr>
          <w:bCs/>
          <w:lang w:val="en-GB"/>
        </w:rPr>
        <w:t xml:space="preserve">6239/04, § 41, 29 April 2010). </w:t>
      </w:r>
      <w:r w:rsidRPr="00282178" w:rsidR="002D47DC">
        <w:rPr>
          <w:bCs/>
          <w:lang w:val="en-GB"/>
        </w:rPr>
        <w:t xml:space="preserve">The Court </w:t>
      </w:r>
      <w:r w:rsidRPr="00282178">
        <w:rPr>
          <w:bCs/>
          <w:lang w:val="en-GB"/>
        </w:rPr>
        <w:t>has on numerous occasions affirmed that the finding of a violation is not sufficient to constitute just satisfaction in cases of ill</w:t>
      </w:r>
      <w:r w:rsidRPr="00282178">
        <w:rPr>
          <w:bCs/>
          <w:lang w:val="en-GB"/>
        </w:rPr>
        <w:noBreakHyphen/>
        <w:t xml:space="preserve">treatment suffered by individuals at the hands of the police or other agents of the State (see, among recent authorities in which a violation of Article 3 was found on account of torture, </w:t>
      </w:r>
      <w:r w:rsidRPr="00282178">
        <w:rPr>
          <w:bCs/>
          <w:i/>
          <w:lang w:val="en-GB"/>
        </w:rPr>
        <w:t>Al Nashiri v. Poland</w:t>
      </w:r>
      <w:r w:rsidRPr="00282178">
        <w:rPr>
          <w:bCs/>
          <w:lang w:val="en-GB"/>
        </w:rPr>
        <w:t xml:space="preserve">, no. 28761/11, § 594, 24 July 2014; </w:t>
      </w:r>
      <w:r w:rsidRPr="00282178">
        <w:rPr>
          <w:bCs/>
          <w:i/>
          <w:lang w:val="en-GB"/>
        </w:rPr>
        <w:t>Ateşoğlu v. Turkey</w:t>
      </w:r>
      <w:r w:rsidRPr="00282178" w:rsidR="00CA4FB9">
        <w:rPr>
          <w:bCs/>
          <w:lang w:val="en-GB"/>
        </w:rPr>
        <w:t>, no. 53645/10, § 35, 20 </w:t>
      </w:r>
      <w:r w:rsidRPr="00282178">
        <w:rPr>
          <w:bCs/>
          <w:lang w:val="en-GB"/>
        </w:rPr>
        <w:t xml:space="preserve">January 2015; </w:t>
      </w:r>
      <w:r w:rsidRPr="00282178">
        <w:rPr>
          <w:bCs/>
          <w:i/>
          <w:lang w:val="en-GB"/>
        </w:rPr>
        <w:t>Afet Süreyya Eren</w:t>
      </w:r>
      <w:r w:rsidRPr="00282178">
        <w:rPr>
          <w:bCs/>
          <w:lang w:val="en-GB"/>
        </w:rPr>
        <w:t xml:space="preserve"> </w:t>
      </w:r>
      <w:r w:rsidRPr="00282178">
        <w:rPr>
          <w:bCs/>
          <w:i/>
          <w:lang w:val="en-GB"/>
        </w:rPr>
        <w:t>v. Turkey</w:t>
      </w:r>
      <w:r w:rsidRPr="00282178" w:rsidR="00CA4FB9">
        <w:rPr>
          <w:bCs/>
          <w:lang w:val="en-GB"/>
        </w:rPr>
        <w:t>, no. 36617/07, § </w:t>
      </w:r>
      <w:r w:rsidRPr="00282178">
        <w:rPr>
          <w:bCs/>
          <w:lang w:val="en-GB"/>
        </w:rPr>
        <w:t xml:space="preserve">51, 20 October 2015; </w:t>
      </w:r>
      <w:r w:rsidRPr="00282178">
        <w:rPr>
          <w:bCs/>
          <w:i/>
          <w:lang w:val="en-GB"/>
        </w:rPr>
        <w:t>Zakharin and Others v. Russia</w:t>
      </w:r>
      <w:r w:rsidRPr="00282178" w:rsidR="00CA4FB9">
        <w:rPr>
          <w:bCs/>
          <w:lang w:val="en-GB"/>
        </w:rPr>
        <w:t>, no. 22458/04, § </w:t>
      </w:r>
      <w:r w:rsidRPr="00282178">
        <w:rPr>
          <w:bCs/>
          <w:lang w:val="en-GB"/>
        </w:rPr>
        <w:t xml:space="preserve">94, 12 November 2015; and </w:t>
      </w:r>
      <w:r w:rsidRPr="00282178">
        <w:rPr>
          <w:bCs/>
          <w:i/>
          <w:lang w:val="en-GB"/>
        </w:rPr>
        <w:t>Pomilyayko v. Ukraine,</w:t>
      </w:r>
      <w:r w:rsidRPr="00282178" w:rsidR="00CA4FB9">
        <w:rPr>
          <w:bCs/>
          <w:lang w:val="en-GB"/>
        </w:rPr>
        <w:t xml:space="preserve"> no. 60426/11, § </w:t>
      </w:r>
      <w:r w:rsidRPr="00282178">
        <w:rPr>
          <w:bCs/>
          <w:lang w:val="en-GB"/>
        </w:rPr>
        <w:t>62, 11 February 2016).</w:t>
      </w:r>
    </w:p>
    <w:p w:rsidRPr="00282178" w:rsidR="00B808AF" w:rsidP="00282178" w:rsidRDefault="002D47DC">
      <w:pPr>
        <w:pStyle w:val="ECHRPara"/>
        <w:rPr>
          <w:szCs w:val="24"/>
          <w:lang w:val="en-GB"/>
        </w:rPr>
      </w:pPr>
      <w:r w:rsidRPr="00282178">
        <w:rPr>
          <w:bCs/>
          <w:lang w:val="en-GB"/>
        </w:rPr>
        <w:fldChar w:fldCharType="begin"/>
      </w:r>
      <w:r w:rsidRPr="00282178">
        <w:rPr>
          <w:bCs/>
          <w:lang w:val="en-GB"/>
        </w:rPr>
        <w:instrText xml:space="preserve"> SEQ level0 \*arabic </w:instrText>
      </w:r>
      <w:r w:rsidRPr="00282178">
        <w:rPr>
          <w:bCs/>
          <w:lang w:val="en-GB"/>
        </w:rPr>
        <w:fldChar w:fldCharType="separate"/>
      </w:r>
      <w:r w:rsidRPr="00282178" w:rsidR="00282178">
        <w:rPr>
          <w:bCs/>
          <w:noProof/>
          <w:lang w:val="en-GB"/>
        </w:rPr>
        <w:t>60</w:t>
      </w:r>
      <w:r w:rsidRPr="00282178">
        <w:rPr>
          <w:bCs/>
          <w:lang w:val="en-GB"/>
        </w:rPr>
        <w:fldChar w:fldCharType="end"/>
      </w:r>
      <w:r w:rsidRPr="00282178">
        <w:rPr>
          <w:bCs/>
          <w:lang w:val="en-GB"/>
        </w:rPr>
        <w:t>.  </w:t>
      </w:r>
      <w:r w:rsidRPr="00282178" w:rsidR="00B808AF">
        <w:rPr>
          <w:bCs/>
          <w:lang w:val="en-GB"/>
        </w:rPr>
        <w:t xml:space="preserve">The factors relevant for determining the level of compensation under Article 41 of the Convention in such cases include the seriousness involved in a violation of Article 3 and the harm suffered by the victim (see, further to the cases cited in paragraph </w:t>
      </w:r>
      <w:r w:rsidRPr="00282178" w:rsidR="006F45C8">
        <w:rPr>
          <w:bCs/>
          <w:lang w:val="en-GB"/>
        </w:rPr>
        <w:t>59</w:t>
      </w:r>
      <w:r w:rsidRPr="00282178" w:rsidR="00B808AF">
        <w:rPr>
          <w:bCs/>
          <w:lang w:val="en-GB"/>
        </w:rPr>
        <w:t xml:space="preserve"> above, </w:t>
      </w:r>
      <w:r w:rsidRPr="00282178" w:rsidR="00B808AF">
        <w:rPr>
          <w:bCs/>
          <w:i/>
          <w:lang w:val="en-GB"/>
        </w:rPr>
        <w:t>Aksoy v. Turkey</w:t>
      </w:r>
      <w:r w:rsidRPr="00282178" w:rsidR="00B808AF">
        <w:rPr>
          <w:bCs/>
          <w:lang w:val="en-GB"/>
        </w:rPr>
        <w:t xml:space="preserve">, 18 December 1996, § 113, </w:t>
      </w:r>
      <w:r w:rsidRPr="00282178" w:rsidR="00B808AF">
        <w:rPr>
          <w:bCs/>
          <w:i/>
          <w:lang w:val="en-GB"/>
        </w:rPr>
        <w:t>Reports of Judgments and Decisions</w:t>
      </w:r>
      <w:r w:rsidRPr="00282178" w:rsidR="00B808AF">
        <w:rPr>
          <w:bCs/>
          <w:lang w:val="en-GB"/>
        </w:rPr>
        <w:t xml:space="preserve"> 1996-VI;</w:t>
      </w:r>
      <w:r w:rsidRPr="00282178" w:rsidR="00B808AF">
        <w:rPr>
          <w:bCs/>
          <w:i/>
          <w:lang w:val="en-GB"/>
        </w:rPr>
        <w:t xml:space="preserve"> Mikheyev v.</w:t>
      </w:r>
      <w:r w:rsidRPr="00282178" w:rsidR="009045ED">
        <w:rPr>
          <w:bCs/>
          <w:i/>
          <w:lang w:val="en-GB"/>
        </w:rPr>
        <w:t> </w:t>
      </w:r>
      <w:r w:rsidRPr="00282178" w:rsidR="00B808AF">
        <w:rPr>
          <w:bCs/>
          <w:i/>
          <w:lang w:val="en-GB"/>
        </w:rPr>
        <w:t>Russia</w:t>
      </w:r>
      <w:r w:rsidRPr="00282178" w:rsidR="00B808AF">
        <w:rPr>
          <w:bCs/>
          <w:lang w:val="en-GB"/>
        </w:rPr>
        <w:t xml:space="preserve">, no. 77617/01, § 163, 26 January 2006; </w:t>
      </w:r>
      <w:r w:rsidRPr="00282178" w:rsidR="00B808AF">
        <w:rPr>
          <w:i/>
          <w:szCs w:val="24"/>
          <w:lang w:val="en-GB"/>
        </w:rPr>
        <w:t>Chitayev v. Russia</w:t>
      </w:r>
      <w:r w:rsidRPr="00282178" w:rsidR="00B808AF">
        <w:rPr>
          <w:szCs w:val="24"/>
          <w:lang w:val="en-GB"/>
        </w:rPr>
        <w:t xml:space="preserve">, no. 59334/00, § 212, 18 January 2007; </w:t>
      </w:r>
      <w:r w:rsidRPr="00282178" w:rsidR="00B808AF">
        <w:rPr>
          <w:i/>
          <w:lang w:val="en-GB"/>
        </w:rPr>
        <w:t>Belousov v. Russia</w:t>
      </w:r>
      <w:r w:rsidRPr="00282178" w:rsidR="00B808AF">
        <w:rPr>
          <w:lang w:val="en-GB"/>
        </w:rPr>
        <w:t xml:space="preserve">, no. 1748/02, § 78, 2 October 2008; </w:t>
      </w:r>
      <w:r w:rsidRPr="00282178" w:rsidR="00B808AF">
        <w:rPr>
          <w:i/>
          <w:lang w:val="en-GB"/>
        </w:rPr>
        <w:t>Polonskiy v. Russia</w:t>
      </w:r>
      <w:r w:rsidRPr="00282178" w:rsidR="00B808AF">
        <w:rPr>
          <w:lang w:val="en-GB"/>
        </w:rPr>
        <w:t xml:space="preserve">, no. 30033/05, </w:t>
      </w:r>
      <w:r w:rsidRPr="00282178" w:rsidR="00B808AF">
        <w:rPr>
          <w:snapToGrid w:val="0"/>
          <w:lang w:val="en-GB"/>
        </w:rPr>
        <w:t xml:space="preserve">§ 184, 19 March 2009; </w:t>
      </w:r>
      <w:r w:rsidRPr="00282178" w:rsidR="00B808AF">
        <w:rPr>
          <w:bCs/>
          <w:i/>
          <w:lang w:val="en-GB"/>
        </w:rPr>
        <w:t>Gäfgen</w:t>
      </w:r>
      <w:r w:rsidRPr="00282178" w:rsidR="00B808AF">
        <w:rPr>
          <w:bCs/>
          <w:lang w:val="en-GB"/>
        </w:rPr>
        <w:t xml:space="preserve">, cited above, § 126; </w:t>
      </w:r>
      <w:r w:rsidRPr="00282178" w:rsidR="00B808AF">
        <w:rPr>
          <w:i/>
          <w:lang w:val="en-GB"/>
        </w:rPr>
        <w:t>Tigran Ayrapetyan v. Russia</w:t>
      </w:r>
      <w:r w:rsidRPr="00282178" w:rsidR="00B808AF">
        <w:rPr>
          <w:lang w:val="en-GB"/>
        </w:rPr>
        <w:t>, no. 75472/01</w:t>
      </w:r>
      <w:r w:rsidRPr="00282178" w:rsidR="00B808AF">
        <w:rPr>
          <w:snapToGrid w:val="0"/>
          <w:szCs w:val="24"/>
          <w:lang w:val="en-GB"/>
        </w:rPr>
        <w:t xml:space="preserve">, § 92, </w:t>
      </w:r>
      <w:r w:rsidRPr="00282178" w:rsidR="00B808AF">
        <w:rPr>
          <w:szCs w:val="24"/>
          <w:lang w:val="en-GB"/>
        </w:rPr>
        <w:t>16</w:t>
      </w:r>
      <w:r w:rsidRPr="00282178" w:rsidR="00B808AF">
        <w:rPr>
          <w:snapToGrid w:val="0"/>
          <w:szCs w:val="24"/>
          <w:lang w:val="en-GB"/>
        </w:rPr>
        <w:t xml:space="preserve"> </w:t>
      </w:r>
      <w:r w:rsidRPr="00282178" w:rsidR="00B808AF">
        <w:rPr>
          <w:szCs w:val="24"/>
          <w:lang w:val="en-GB"/>
        </w:rPr>
        <w:t>S</w:t>
      </w:r>
      <w:r w:rsidRPr="00282178" w:rsidR="00B808AF">
        <w:rPr>
          <w:snapToGrid w:val="0"/>
          <w:szCs w:val="24"/>
          <w:lang w:val="en-GB"/>
        </w:rPr>
        <w:t>eptemb</w:t>
      </w:r>
      <w:r w:rsidRPr="00282178" w:rsidR="00B808AF">
        <w:rPr>
          <w:szCs w:val="24"/>
          <w:lang w:val="en-GB"/>
        </w:rPr>
        <w:t>er</w:t>
      </w:r>
      <w:r w:rsidRPr="00282178" w:rsidR="00B808AF">
        <w:rPr>
          <w:snapToGrid w:val="0"/>
          <w:szCs w:val="24"/>
          <w:lang w:val="en-GB"/>
        </w:rPr>
        <w:t xml:space="preserve"> 2010</w:t>
      </w:r>
      <w:r w:rsidRPr="00282178" w:rsidR="00B808AF">
        <w:rPr>
          <w:bCs/>
          <w:lang w:val="en-GB"/>
        </w:rPr>
        <w:t xml:space="preserve">; </w:t>
      </w:r>
      <w:r w:rsidRPr="00282178" w:rsidR="00B808AF">
        <w:rPr>
          <w:bCs/>
          <w:i/>
          <w:lang w:val="en-GB"/>
        </w:rPr>
        <w:t>Kopylov</w:t>
      </w:r>
      <w:r w:rsidRPr="00282178" w:rsidR="00B808AF">
        <w:rPr>
          <w:bCs/>
          <w:lang w:val="en-GB"/>
        </w:rPr>
        <w:t>, cited above,</w:t>
      </w:r>
      <w:r w:rsidRPr="00282178" w:rsidR="00B808AF">
        <w:rPr>
          <w:bCs/>
          <w:i/>
          <w:lang w:val="en-GB"/>
        </w:rPr>
        <w:t xml:space="preserve"> </w:t>
      </w:r>
      <w:r w:rsidRPr="00282178" w:rsidR="00B808AF">
        <w:rPr>
          <w:bCs/>
          <w:lang w:val="en-GB"/>
        </w:rPr>
        <w:t xml:space="preserve">§ 181; </w:t>
      </w:r>
      <w:r w:rsidRPr="00282178" w:rsidR="00B808AF">
        <w:rPr>
          <w:bCs/>
          <w:i/>
          <w:lang w:val="en-GB"/>
        </w:rPr>
        <w:t>Tangiyev v. Russia</w:t>
      </w:r>
      <w:r w:rsidRPr="00282178" w:rsidR="00B808AF">
        <w:rPr>
          <w:bCs/>
          <w:lang w:val="en-GB"/>
        </w:rPr>
        <w:t xml:space="preserve">, no. 27610/05, § 87, 11 December 2012; and </w:t>
      </w:r>
      <w:r w:rsidRPr="00282178" w:rsidR="00B808AF">
        <w:rPr>
          <w:bCs/>
          <w:i/>
          <w:lang w:val="en-GB"/>
        </w:rPr>
        <w:t>Lyapin</w:t>
      </w:r>
      <w:r w:rsidRPr="00282178">
        <w:rPr>
          <w:bCs/>
          <w:lang w:val="en-GB"/>
        </w:rPr>
        <w:t>, cited above, § 148</w:t>
      </w:r>
      <w:r w:rsidRPr="00282178" w:rsidR="00B808AF">
        <w:rPr>
          <w:bCs/>
          <w:lang w:val="en-GB"/>
        </w:rPr>
        <w:t>).</w:t>
      </w:r>
    </w:p>
    <w:p w:rsidRPr="00282178" w:rsidR="00B808AF" w:rsidP="00282178" w:rsidRDefault="002D47DC">
      <w:pPr>
        <w:pStyle w:val="ECHRPara"/>
        <w:rPr>
          <w:bCs/>
          <w:lang w:val="en-GB"/>
        </w:rPr>
      </w:pPr>
      <w:r w:rsidRPr="00282178">
        <w:rPr>
          <w:bCs/>
          <w:lang w:val="en-GB"/>
        </w:rPr>
        <w:fldChar w:fldCharType="begin"/>
      </w:r>
      <w:r w:rsidRPr="00282178">
        <w:rPr>
          <w:bCs/>
          <w:lang w:val="en-GB"/>
        </w:rPr>
        <w:instrText xml:space="preserve"> SEQ level0 \*arabic </w:instrText>
      </w:r>
      <w:r w:rsidRPr="00282178">
        <w:rPr>
          <w:bCs/>
          <w:lang w:val="en-GB"/>
        </w:rPr>
        <w:fldChar w:fldCharType="separate"/>
      </w:r>
      <w:r w:rsidRPr="00282178" w:rsidR="00282178">
        <w:rPr>
          <w:bCs/>
          <w:noProof/>
          <w:lang w:val="en-GB"/>
        </w:rPr>
        <w:t>61</w:t>
      </w:r>
      <w:r w:rsidRPr="00282178">
        <w:rPr>
          <w:bCs/>
          <w:lang w:val="en-GB"/>
        </w:rPr>
        <w:fldChar w:fldCharType="end"/>
      </w:r>
      <w:r w:rsidRPr="00282178">
        <w:rPr>
          <w:bCs/>
          <w:lang w:val="en-GB"/>
        </w:rPr>
        <w:t>.  </w:t>
      </w:r>
      <w:r w:rsidRPr="00282178" w:rsidR="00B808AF">
        <w:rPr>
          <w:bCs/>
          <w:lang w:val="en-GB"/>
        </w:rPr>
        <w:t xml:space="preserve">Even if the method of calculation provided for in domestic law does not correspond exactly to the criteria established by the Court, an analysis of the case-law should enable domestic courts to award sums that are not unreasonable in comparison with the awards made by the Court in similar cases (see </w:t>
      </w:r>
      <w:r w:rsidRPr="00282178" w:rsidR="00B808AF">
        <w:rPr>
          <w:bCs/>
          <w:i/>
          <w:lang w:val="en-GB"/>
        </w:rPr>
        <w:t>Scordino</w:t>
      </w:r>
      <w:r w:rsidRPr="00282178" w:rsidR="00B808AF">
        <w:rPr>
          <w:bCs/>
          <w:lang w:val="en-GB"/>
        </w:rPr>
        <w:t xml:space="preserve"> </w:t>
      </w:r>
      <w:r w:rsidRPr="00282178" w:rsidR="00B808AF">
        <w:rPr>
          <w:bCs/>
          <w:i/>
          <w:lang w:val="en-GB"/>
        </w:rPr>
        <w:t>(no. 1)</w:t>
      </w:r>
      <w:r w:rsidRPr="00282178" w:rsidR="00B808AF">
        <w:rPr>
          <w:bCs/>
          <w:lang w:val="en-GB"/>
        </w:rPr>
        <w:t>, cited above, § 213).</w:t>
      </w:r>
    </w:p>
    <w:p w:rsidRPr="00282178" w:rsidR="00B808AF" w:rsidP="00282178" w:rsidRDefault="002D47DC">
      <w:pPr>
        <w:pStyle w:val="ECHRPara"/>
        <w:rPr>
          <w:lang w:val="en-GB"/>
        </w:rPr>
      </w:pPr>
      <w:r w:rsidRPr="00282178">
        <w:rPr>
          <w:bCs/>
          <w:lang w:val="en-GB"/>
        </w:rPr>
        <w:fldChar w:fldCharType="begin"/>
      </w:r>
      <w:r w:rsidRPr="00282178">
        <w:rPr>
          <w:bCs/>
          <w:lang w:val="en-GB"/>
        </w:rPr>
        <w:instrText xml:space="preserve"> SEQ level0 \*arabic </w:instrText>
      </w:r>
      <w:r w:rsidRPr="00282178">
        <w:rPr>
          <w:bCs/>
          <w:lang w:val="en-GB"/>
        </w:rPr>
        <w:fldChar w:fldCharType="separate"/>
      </w:r>
      <w:r w:rsidRPr="00282178" w:rsidR="00282178">
        <w:rPr>
          <w:bCs/>
          <w:noProof/>
          <w:lang w:val="en-GB"/>
        </w:rPr>
        <w:t>62</w:t>
      </w:r>
      <w:r w:rsidRPr="00282178">
        <w:rPr>
          <w:bCs/>
          <w:lang w:val="en-GB"/>
        </w:rPr>
        <w:fldChar w:fldCharType="end"/>
      </w:r>
      <w:r w:rsidRPr="00282178">
        <w:rPr>
          <w:bCs/>
          <w:lang w:val="en-GB"/>
        </w:rPr>
        <w:t>.  </w:t>
      </w:r>
      <w:r w:rsidRPr="00282178" w:rsidR="00B808AF">
        <w:rPr>
          <w:bCs/>
          <w:lang w:val="en-GB"/>
        </w:rPr>
        <w:t>The domestic courts awarded the applicant compensation in the amount equal to about 1,450 euros, considering that it would constitute adequate redress for the harm suffered by him. There is no indication that in their assessment they had regard to awards made by the Court in similar cases. The Court observes that th</w:t>
      </w:r>
      <w:r w:rsidRPr="00282178" w:rsidR="00AD7147">
        <w:rPr>
          <w:bCs/>
          <w:lang w:val="en-GB"/>
        </w:rPr>
        <w:t>is</w:t>
      </w:r>
      <w:r w:rsidRPr="00282178" w:rsidR="00B808AF">
        <w:rPr>
          <w:bCs/>
          <w:lang w:val="en-GB"/>
        </w:rPr>
        <w:t xml:space="preserve"> amount is </w:t>
      </w:r>
      <w:r w:rsidRPr="00282178" w:rsidR="00AD7147">
        <w:rPr>
          <w:bCs/>
          <w:lang w:val="en-GB"/>
        </w:rPr>
        <w:t xml:space="preserve">substantially </w:t>
      </w:r>
      <w:r w:rsidRPr="00282178" w:rsidR="00B808AF">
        <w:rPr>
          <w:bCs/>
          <w:lang w:val="en-GB"/>
        </w:rPr>
        <w:t>less than what it generally awards in similar cases.</w:t>
      </w:r>
    </w:p>
    <w:p w:rsidRPr="00282178" w:rsidR="00B808AF"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63</w:t>
      </w:r>
      <w:r w:rsidRPr="00282178">
        <w:rPr>
          <w:lang w:val="en-GB"/>
        </w:rPr>
        <w:fldChar w:fldCharType="end"/>
      </w:r>
      <w:r w:rsidRPr="00282178" w:rsidR="00B808AF">
        <w:rPr>
          <w:lang w:val="en-GB"/>
        </w:rPr>
        <w:t xml:space="preserve">.  Lastly, the Court would note that the applicant, while arguing before the domestic courts that the ill-treatment to which he was subjected constituted torture, claimed about 14,500 euros, noting that compensation resulting from the use of a domestic remedy could be lower than compensation to which he would be entitled in the Convention proceedings, and clearly stating his preference for accepting such lower amount rather than </w:t>
      </w:r>
      <w:r w:rsidRPr="00282178" w:rsidR="00B808AF">
        <w:rPr>
          <w:bCs/>
          <w:lang w:val="en-GB"/>
        </w:rPr>
        <w:t>setting in motion the international machinery of complaint before the Court</w:t>
      </w:r>
      <w:r w:rsidRPr="00282178" w:rsidR="00B808AF">
        <w:rPr>
          <w:lang w:val="en-GB"/>
        </w:rPr>
        <w:t xml:space="preserve"> (the amount awarded to him by the domestic courts was approximately 10% of what he claimed). The Court agrees with the applicant in that it can perfectly well accept that a domestic remedy, otherwise meeting the requirements of an “effective remedy”, could result in compensation lower than that awarded by the Court, providing, however, that it would not be unreasonable in comparison with the awards made by the Court in similar cases (see </w:t>
      </w:r>
      <w:r w:rsidRPr="00282178" w:rsidR="00B808AF">
        <w:rPr>
          <w:i/>
          <w:lang w:val="en-GB"/>
        </w:rPr>
        <w:t>Scordino (no. 1)</w:t>
      </w:r>
      <w:r w:rsidRPr="00282178" w:rsidR="00B808AF">
        <w:rPr>
          <w:lang w:val="en-GB"/>
        </w:rPr>
        <w:t xml:space="preserve">, cited above, </w:t>
      </w:r>
      <w:r w:rsidRPr="00282178" w:rsidR="00B808AF">
        <w:rPr>
          <w:rFonts w:cstheme="minorHAnsi"/>
          <w:lang w:val="en-GB"/>
        </w:rPr>
        <w:t>§</w:t>
      </w:r>
      <w:r w:rsidRPr="00282178" w:rsidR="00B808AF">
        <w:rPr>
          <w:lang w:val="en-GB"/>
        </w:rPr>
        <w:t xml:space="preserve"> 206).</w:t>
      </w:r>
    </w:p>
    <w:p w:rsidRPr="00282178" w:rsidR="00B808AF"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64</w:t>
      </w:r>
      <w:r w:rsidRPr="00282178">
        <w:rPr>
          <w:lang w:val="en-GB"/>
        </w:rPr>
        <w:fldChar w:fldCharType="end"/>
      </w:r>
      <w:r w:rsidRPr="00282178" w:rsidR="00B808AF">
        <w:rPr>
          <w:lang w:val="en-GB"/>
        </w:rPr>
        <w:t>.  The Court concludes that the compensation awarded to the applicant by the domestic courts did not constitute sufficient redress.</w:t>
      </w:r>
    </w:p>
    <w:p w:rsidRPr="00282178" w:rsidR="00951EF4"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65</w:t>
      </w:r>
      <w:r w:rsidRPr="00282178">
        <w:rPr>
          <w:lang w:val="en-GB"/>
        </w:rPr>
        <w:fldChar w:fldCharType="end"/>
      </w:r>
      <w:r w:rsidRPr="00282178" w:rsidR="00951EF4">
        <w:rPr>
          <w:lang w:val="en-GB"/>
        </w:rPr>
        <w:t>.  </w:t>
      </w:r>
      <w:r w:rsidRPr="00282178" w:rsidR="00AD7147">
        <w:rPr>
          <w:lang w:val="en-GB"/>
        </w:rPr>
        <w:t>G</w:t>
      </w:r>
      <w:r w:rsidRPr="00282178" w:rsidR="006B6E34">
        <w:rPr>
          <w:lang w:val="en-GB"/>
        </w:rPr>
        <w:t>iven that the i</w:t>
      </w:r>
      <w:r w:rsidRPr="00282178" w:rsidR="00612E7F">
        <w:rPr>
          <w:lang w:val="en-GB"/>
        </w:rPr>
        <w:t>nvestigation into the applicant</w:t>
      </w:r>
      <w:r w:rsidRPr="00282178" w:rsidR="00282178">
        <w:rPr>
          <w:lang w:val="en-GB"/>
        </w:rPr>
        <w:t>’</w:t>
      </w:r>
      <w:r w:rsidRPr="00282178" w:rsidR="00031926">
        <w:rPr>
          <w:lang w:val="en-GB"/>
        </w:rPr>
        <w:t>s allegations of ill</w:t>
      </w:r>
      <w:r w:rsidRPr="00282178" w:rsidR="00031926">
        <w:rPr>
          <w:lang w:val="en-GB"/>
        </w:rPr>
        <w:noBreakHyphen/>
      </w:r>
      <w:r w:rsidRPr="00282178" w:rsidR="006B6E34">
        <w:rPr>
          <w:lang w:val="en-GB"/>
        </w:rPr>
        <w:t xml:space="preserve">treatment was ineffective and the compensation awarded to him was insufficient, </w:t>
      </w:r>
      <w:r w:rsidRPr="00282178" w:rsidR="00AD7147">
        <w:rPr>
          <w:lang w:val="en-GB"/>
        </w:rPr>
        <w:t>the applicant</w:t>
      </w:r>
      <w:r w:rsidRPr="00282178" w:rsidR="006B6E34">
        <w:rPr>
          <w:lang w:val="en-GB"/>
        </w:rPr>
        <w:t xml:space="preserve"> may still claim to be a “victim” of a breach of his rights under Article 3 of the Convention on account of torture to which he was subjected by police officers at the Sovetskiy district police station in Nizhniy Novgorod. </w:t>
      </w:r>
      <w:r w:rsidRPr="00282178" w:rsidR="00951EF4">
        <w:rPr>
          <w:lang w:val="en-GB"/>
        </w:rPr>
        <w:t>Accordingly, th</w:t>
      </w:r>
      <w:r w:rsidRPr="00282178" w:rsidR="00612E7F">
        <w:rPr>
          <w:lang w:val="en-GB"/>
        </w:rPr>
        <w:t>e Government</w:t>
      </w:r>
      <w:r w:rsidRPr="00282178" w:rsidR="00282178">
        <w:rPr>
          <w:lang w:val="en-GB"/>
        </w:rPr>
        <w:t>’</w:t>
      </w:r>
      <w:r w:rsidRPr="00282178" w:rsidR="00612E7F">
        <w:rPr>
          <w:lang w:val="en-GB"/>
        </w:rPr>
        <w:t xml:space="preserve">s </w:t>
      </w:r>
      <w:r w:rsidRPr="00282178" w:rsidR="00951EF4">
        <w:rPr>
          <w:lang w:val="en-GB"/>
        </w:rPr>
        <w:t>objection must be dismissed.</w:t>
      </w:r>
    </w:p>
    <w:p w:rsidRPr="00282178" w:rsidR="00734FEB" w:rsidP="00282178" w:rsidRDefault="00D43B5E">
      <w:pPr>
        <w:pStyle w:val="ECHRHeading4"/>
        <w:rPr>
          <w:lang w:val="en-GB"/>
        </w:rPr>
      </w:pPr>
      <w:r w:rsidRPr="00282178">
        <w:rPr>
          <w:lang w:val="en-GB"/>
        </w:rPr>
        <w:t>(</w:t>
      </w:r>
      <w:r w:rsidRPr="00282178" w:rsidR="0050135D">
        <w:rPr>
          <w:lang w:val="en-GB"/>
        </w:rPr>
        <w:t>d)</w:t>
      </w:r>
      <w:r w:rsidRPr="00282178" w:rsidR="00734FEB">
        <w:rPr>
          <w:lang w:val="en-GB"/>
        </w:rPr>
        <w:t>  Conclusion</w:t>
      </w:r>
    </w:p>
    <w:p w:rsidRPr="00282178" w:rsidR="006B6E34"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66</w:t>
      </w:r>
      <w:r w:rsidRPr="00282178">
        <w:rPr>
          <w:lang w:val="en-GB"/>
        </w:rPr>
        <w:fldChar w:fldCharType="end"/>
      </w:r>
      <w:r w:rsidRPr="00282178" w:rsidR="006B6E34">
        <w:rPr>
          <w:lang w:val="en-GB"/>
        </w:rPr>
        <w:t>.  The Court further finds that there has been a violation of Article 3 of the Convention under its substantive and procedural limbs.</w:t>
      </w:r>
    </w:p>
    <w:p w:rsidRPr="00282178" w:rsidR="008E0E47" w:rsidP="00282178" w:rsidRDefault="008E0E47">
      <w:pPr>
        <w:pStyle w:val="ECHRHeading1"/>
        <w:rPr>
          <w:lang w:val="en-GB"/>
        </w:rPr>
      </w:pPr>
      <w:r w:rsidRPr="00282178">
        <w:rPr>
          <w:lang w:val="en-GB"/>
        </w:rPr>
        <w:t>II.  ALLEGED VIOLATION OF ARTICLE 13 OF THE CONVENTION</w:t>
      </w:r>
    </w:p>
    <w:p w:rsidRPr="00282178" w:rsidR="008E0E47" w:rsidP="00282178" w:rsidRDefault="00FE135E">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67</w:t>
      </w:r>
      <w:r w:rsidRPr="00282178">
        <w:rPr>
          <w:lang w:val="en-GB"/>
        </w:rPr>
        <w:fldChar w:fldCharType="end"/>
      </w:r>
      <w:r w:rsidRPr="00282178">
        <w:rPr>
          <w:lang w:val="en-GB"/>
        </w:rPr>
        <w:t>.  </w:t>
      </w:r>
      <w:r w:rsidRPr="00282178" w:rsidR="008E0E47">
        <w:rPr>
          <w:lang w:val="en-GB"/>
        </w:rPr>
        <w:t xml:space="preserve">The applicant </w:t>
      </w:r>
      <w:r w:rsidRPr="00282178" w:rsidR="00062DB9">
        <w:rPr>
          <w:lang w:val="en-GB"/>
        </w:rPr>
        <w:t xml:space="preserve">contended that </w:t>
      </w:r>
      <w:r w:rsidRPr="00282178" w:rsidR="00786567">
        <w:rPr>
          <w:lang w:val="en-GB"/>
        </w:rPr>
        <w:t xml:space="preserve">the domestic remedies of which he had availed himself in respect of the breach of his rights guaranteed by Article 3 had not been </w:t>
      </w:r>
      <w:r w:rsidRPr="00282178" w:rsidR="00062DB9">
        <w:rPr>
          <w:lang w:val="en-GB"/>
        </w:rPr>
        <w:t>effective</w:t>
      </w:r>
      <w:r w:rsidRPr="00282178" w:rsidR="00E80E8A">
        <w:rPr>
          <w:lang w:val="en-GB"/>
        </w:rPr>
        <w:t>.</w:t>
      </w:r>
      <w:r w:rsidRPr="00282178" w:rsidR="00A01374">
        <w:rPr>
          <w:lang w:val="en-GB"/>
        </w:rPr>
        <w:t xml:space="preserve"> He relied on Article 13</w:t>
      </w:r>
      <w:r w:rsidRPr="00282178" w:rsidR="008E0E47">
        <w:rPr>
          <w:lang w:val="en-GB"/>
        </w:rPr>
        <w:t>, which reads:</w:t>
      </w:r>
    </w:p>
    <w:p w:rsidRPr="00282178" w:rsidR="000E6983" w:rsidP="00282178" w:rsidRDefault="008E0E47">
      <w:pPr>
        <w:pStyle w:val="ECHRParaQuote"/>
        <w:rPr>
          <w:lang w:val="en-GB"/>
        </w:rPr>
      </w:pPr>
      <w:r w:rsidRPr="00282178">
        <w:rPr>
          <w:lang w:val="en-GB"/>
        </w:rPr>
        <w:t>“Everyone whose rights and freedoms as set forth in [the] Convention are violated shall have an effective remedy before a national authority notwithstanding that the violation has been committed by persons acting in an official capacity.”</w:t>
      </w:r>
    </w:p>
    <w:p w:rsidRPr="00282178" w:rsidR="008E0E47" w:rsidP="00282178" w:rsidRDefault="008E0E47">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68</w:t>
      </w:r>
      <w:r w:rsidRPr="00282178">
        <w:rPr>
          <w:lang w:val="en-GB"/>
        </w:rPr>
        <w:fldChar w:fldCharType="end"/>
      </w:r>
      <w:r w:rsidRPr="00282178">
        <w:rPr>
          <w:lang w:val="en-GB"/>
        </w:rPr>
        <w:t>.  The Government contested that argument</w:t>
      </w:r>
      <w:r w:rsidRPr="00282178" w:rsidR="00E80E8A">
        <w:rPr>
          <w:lang w:val="en-GB"/>
        </w:rPr>
        <w:t xml:space="preserve"> in so far as it related to the civil proceedings (see paragraphs 3</w:t>
      </w:r>
      <w:r w:rsidRPr="00282178" w:rsidR="00DE3CD4">
        <w:rPr>
          <w:lang w:val="en-GB"/>
        </w:rPr>
        <w:t>6</w:t>
      </w:r>
      <w:r w:rsidRPr="00282178" w:rsidR="00E80E8A">
        <w:rPr>
          <w:lang w:val="en-GB"/>
        </w:rPr>
        <w:t xml:space="preserve"> and 3</w:t>
      </w:r>
      <w:r w:rsidRPr="00282178" w:rsidR="00DE3CD4">
        <w:rPr>
          <w:lang w:val="en-GB"/>
        </w:rPr>
        <w:t>7</w:t>
      </w:r>
      <w:r w:rsidRPr="00282178" w:rsidR="00E80E8A">
        <w:rPr>
          <w:lang w:val="en-GB"/>
        </w:rPr>
        <w:t xml:space="preserve"> above)</w:t>
      </w:r>
      <w:r w:rsidRPr="00282178">
        <w:rPr>
          <w:lang w:val="en-GB"/>
        </w:rPr>
        <w:t>.</w:t>
      </w:r>
    </w:p>
    <w:p w:rsidRPr="00282178" w:rsidR="008E0E47" w:rsidP="00282178" w:rsidRDefault="008E0E47">
      <w:pPr>
        <w:pStyle w:val="ECHRHeading2"/>
        <w:rPr>
          <w:lang w:val="en-GB"/>
        </w:rPr>
      </w:pPr>
      <w:r w:rsidRPr="00282178">
        <w:rPr>
          <w:lang w:val="en-GB"/>
        </w:rPr>
        <w:t>A.  Admissibility</w:t>
      </w:r>
    </w:p>
    <w:p w:rsidRPr="00282178" w:rsidR="00F72936"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69</w:t>
      </w:r>
      <w:r w:rsidRPr="00282178">
        <w:rPr>
          <w:lang w:val="en-GB"/>
        </w:rPr>
        <w:fldChar w:fldCharType="end"/>
      </w:r>
      <w:r w:rsidRPr="00282178" w:rsidR="00733C96">
        <w:rPr>
          <w:lang w:val="en-GB"/>
        </w:rPr>
        <w:t>.  </w:t>
      </w:r>
      <w:r w:rsidRPr="00282178" w:rsidR="00DD09B7">
        <w:rPr>
          <w:bCs/>
          <w:lang w:val="en-GB"/>
        </w:rPr>
        <w:t>The Court has found that the respondent State is responsible under Article 3 of the Convention for torture suffered by the applicant at the hands of police. The applicant</w:t>
      </w:r>
      <w:r w:rsidRPr="00282178" w:rsidR="00282178">
        <w:rPr>
          <w:bCs/>
          <w:lang w:val="en-GB"/>
        </w:rPr>
        <w:t>’</w:t>
      </w:r>
      <w:r w:rsidRPr="00282178" w:rsidR="00DD09B7">
        <w:rPr>
          <w:bCs/>
          <w:lang w:val="en-GB"/>
        </w:rPr>
        <w:t>s complaints in this regard are therefore “arguable” for the purposes of Article 13 in connection with Article 3 of the Convention.</w:t>
      </w:r>
    </w:p>
    <w:p w:rsidRPr="00282178" w:rsidR="00B21B74"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70</w:t>
      </w:r>
      <w:r w:rsidRPr="00282178">
        <w:rPr>
          <w:lang w:val="en-GB"/>
        </w:rPr>
        <w:fldChar w:fldCharType="end"/>
      </w:r>
      <w:r w:rsidRPr="00282178" w:rsidR="00DD09B7">
        <w:rPr>
          <w:lang w:val="en-GB"/>
        </w:rPr>
        <w:t>.  </w:t>
      </w:r>
      <w:r w:rsidRPr="00282178" w:rsidR="00733C96">
        <w:rPr>
          <w:lang w:val="en-GB"/>
        </w:rPr>
        <w:t>The Court notes that this complaint is not manifestly ill-founded within the meaning of Article 35 § 3 (a) of the Convention</w:t>
      </w:r>
      <w:r w:rsidRPr="00282178" w:rsidR="00BA6385">
        <w:rPr>
          <w:lang w:val="en-GB"/>
        </w:rPr>
        <w:t xml:space="preserve"> and</w:t>
      </w:r>
      <w:r w:rsidRPr="00282178" w:rsidR="00733C96">
        <w:rPr>
          <w:lang w:val="en-GB"/>
        </w:rPr>
        <w:t xml:space="preserve"> that it is not inadmissible on any other grounds. It must therefore be declared admissible.</w:t>
      </w:r>
    </w:p>
    <w:p w:rsidRPr="00282178" w:rsidR="000E6983" w:rsidP="00282178" w:rsidRDefault="000E6983">
      <w:pPr>
        <w:pStyle w:val="ECHRHeading2"/>
        <w:rPr>
          <w:lang w:val="en-GB"/>
        </w:rPr>
      </w:pPr>
      <w:r w:rsidRPr="00282178">
        <w:rPr>
          <w:lang w:val="en-GB"/>
        </w:rPr>
        <w:t>B.  Merits</w:t>
      </w:r>
    </w:p>
    <w:p w:rsidRPr="00282178" w:rsidR="00A440A3"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71</w:t>
      </w:r>
      <w:r w:rsidRPr="00282178">
        <w:rPr>
          <w:lang w:val="en-GB"/>
        </w:rPr>
        <w:fldChar w:fldCharType="end"/>
      </w:r>
      <w:r w:rsidRPr="00282178" w:rsidR="00F231C2">
        <w:rPr>
          <w:lang w:val="en-GB"/>
        </w:rPr>
        <w:t>.  </w:t>
      </w:r>
      <w:r w:rsidRPr="00282178" w:rsidR="000A6495">
        <w:rPr>
          <w:lang w:val="en-GB"/>
        </w:rPr>
        <w:t>In so far as the applicant</w:t>
      </w:r>
      <w:r w:rsidRPr="00282178" w:rsidR="002B0181">
        <w:rPr>
          <w:lang w:val="en-GB"/>
        </w:rPr>
        <w:t xml:space="preserve"> complained </w:t>
      </w:r>
      <w:r w:rsidRPr="00282178" w:rsidR="000A6495">
        <w:rPr>
          <w:lang w:val="en-GB"/>
        </w:rPr>
        <w:t>that he did not have</w:t>
      </w:r>
      <w:r w:rsidRPr="00282178" w:rsidR="00D62B01">
        <w:rPr>
          <w:lang w:val="en-GB"/>
        </w:rPr>
        <w:t xml:space="preserve"> an</w:t>
      </w:r>
      <w:r w:rsidRPr="00282178" w:rsidR="000A6495">
        <w:rPr>
          <w:lang w:val="en-GB"/>
        </w:rPr>
        <w:t xml:space="preserve"> effective criminal-law remed</w:t>
      </w:r>
      <w:r w:rsidRPr="00282178" w:rsidR="00D62B01">
        <w:rPr>
          <w:lang w:val="en-GB"/>
        </w:rPr>
        <w:t>y</w:t>
      </w:r>
      <w:r w:rsidRPr="00282178" w:rsidR="000A6495">
        <w:rPr>
          <w:lang w:val="en-GB"/>
        </w:rPr>
        <w:t xml:space="preserve"> in respect of his allegation</w:t>
      </w:r>
      <w:r w:rsidRPr="00282178" w:rsidR="00F3010B">
        <w:rPr>
          <w:lang w:val="en-GB"/>
        </w:rPr>
        <w:t>s</w:t>
      </w:r>
      <w:r w:rsidRPr="00282178" w:rsidR="000A6495">
        <w:rPr>
          <w:lang w:val="en-GB"/>
        </w:rPr>
        <w:t xml:space="preserve"> of torture by </w:t>
      </w:r>
      <w:r w:rsidRPr="00282178" w:rsidR="001250F7">
        <w:rPr>
          <w:lang w:val="en-GB"/>
        </w:rPr>
        <w:t xml:space="preserve">the </w:t>
      </w:r>
      <w:r w:rsidRPr="00282178" w:rsidR="000A6495">
        <w:rPr>
          <w:lang w:val="en-GB"/>
        </w:rPr>
        <w:t xml:space="preserve">police, the Court notes that </w:t>
      </w:r>
      <w:r w:rsidRPr="00282178" w:rsidR="002B0181">
        <w:rPr>
          <w:lang w:val="en-GB"/>
        </w:rPr>
        <w:t>this part of the complaint</w:t>
      </w:r>
      <w:r w:rsidRPr="00282178" w:rsidR="000A6495">
        <w:rPr>
          <w:lang w:val="en-GB"/>
        </w:rPr>
        <w:t xml:space="preserve"> does not raise any separate issue from that examined under the procedural </w:t>
      </w:r>
      <w:r w:rsidRPr="00282178" w:rsidR="00D76F2B">
        <w:rPr>
          <w:lang w:val="en-GB"/>
        </w:rPr>
        <w:t xml:space="preserve">limb </w:t>
      </w:r>
      <w:r w:rsidRPr="00282178" w:rsidR="000A6495">
        <w:rPr>
          <w:lang w:val="en-GB"/>
        </w:rPr>
        <w:t>of Article 3 (see paragraph</w:t>
      </w:r>
      <w:r w:rsidRPr="00282178" w:rsidR="00A861EB">
        <w:rPr>
          <w:lang w:val="en-GB"/>
        </w:rPr>
        <w:t xml:space="preserve">s </w:t>
      </w:r>
      <w:r w:rsidRPr="00282178" w:rsidR="00513963">
        <w:rPr>
          <w:lang w:val="en-GB"/>
        </w:rPr>
        <w:t>54</w:t>
      </w:r>
      <w:r w:rsidRPr="00282178" w:rsidR="00A861EB">
        <w:rPr>
          <w:lang w:val="en-GB"/>
        </w:rPr>
        <w:t xml:space="preserve"> and </w:t>
      </w:r>
      <w:r w:rsidRPr="00282178" w:rsidR="00F008CB">
        <w:rPr>
          <w:lang w:val="en-GB"/>
        </w:rPr>
        <w:t>6</w:t>
      </w:r>
      <w:r w:rsidRPr="00282178" w:rsidR="00513963">
        <w:rPr>
          <w:lang w:val="en-GB"/>
        </w:rPr>
        <w:t>6</w:t>
      </w:r>
      <w:r w:rsidRPr="00282178" w:rsidR="000A6495">
        <w:rPr>
          <w:lang w:val="en-GB"/>
        </w:rPr>
        <w:t xml:space="preserve"> above) and considers that there is no need to examine it </w:t>
      </w:r>
      <w:r w:rsidRPr="00282178" w:rsidR="002B0181">
        <w:rPr>
          <w:lang w:val="en-GB"/>
        </w:rPr>
        <w:t xml:space="preserve">separately </w:t>
      </w:r>
      <w:r w:rsidRPr="00282178" w:rsidR="000A6495">
        <w:rPr>
          <w:lang w:val="en-GB"/>
        </w:rPr>
        <w:t xml:space="preserve">under </w:t>
      </w:r>
      <w:r w:rsidRPr="00282178" w:rsidR="00E80E8A">
        <w:rPr>
          <w:lang w:val="en-GB"/>
        </w:rPr>
        <w:t>Article 13.</w:t>
      </w:r>
    </w:p>
    <w:p w:rsidRPr="00282178" w:rsidR="00F72936" w:rsidP="00282178" w:rsidRDefault="009045ED">
      <w:pPr>
        <w:pStyle w:val="ECHRPara"/>
        <w:rPr>
          <w:bCs/>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72</w:t>
      </w:r>
      <w:r w:rsidRPr="00282178">
        <w:rPr>
          <w:lang w:val="en-GB"/>
        </w:rPr>
        <w:fldChar w:fldCharType="end"/>
      </w:r>
      <w:r w:rsidRPr="00282178" w:rsidR="00710B94">
        <w:rPr>
          <w:lang w:val="en-GB"/>
        </w:rPr>
        <w:t>.  </w:t>
      </w:r>
      <w:r w:rsidRPr="00282178" w:rsidR="00755F7A">
        <w:rPr>
          <w:lang w:val="en-GB"/>
        </w:rPr>
        <w:t xml:space="preserve">In so far as the applicant complained that he did not have an effective civil-law remedy in respect of the same allegations, </w:t>
      </w:r>
      <w:r w:rsidRPr="00282178" w:rsidR="00771F5A">
        <w:rPr>
          <w:lang w:val="en-GB"/>
        </w:rPr>
        <w:t xml:space="preserve">the Court reiterates that </w:t>
      </w:r>
      <w:r w:rsidRPr="00282178" w:rsidR="00771F5A">
        <w:rPr>
          <w:bCs/>
          <w:lang w:val="en-GB"/>
        </w:rPr>
        <w:t>Article 13 of the Convention guarantees the availability at the national level of a remedy to enforce the substance of the Convention rights and freedoms in whatever form they might happen to be secured in the domestic legal order. Article 13 thus requires the provision of a domestic remedy to deal with the substance of an “arguable complaint” under the Convention and to grant appropriate relief, although the Contracting States are afforded some discretion as to the manner in which they conform to their Convention obligations under this provision. The scope of the obligation under Article 13 also varies depending on the nature of the applicant</w:t>
      </w:r>
      <w:r w:rsidRPr="00282178" w:rsidR="00282178">
        <w:rPr>
          <w:bCs/>
          <w:lang w:val="en-GB"/>
        </w:rPr>
        <w:t>’</w:t>
      </w:r>
      <w:r w:rsidRPr="00282178" w:rsidR="00771F5A">
        <w:rPr>
          <w:bCs/>
          <w:lang w:val="en-GB"/>
        </w:rPr>
        <w:t xml:space="preserve">s complaint under the Convention. Nevertheless, the remedy required by Article 13 must be “effective” in practice as well as in law (see </w:t>
      </w:r>
      <w:bookmarkStart w:name="File2539" w:id="3"/>
      <w:r w:rsidRPr="00282178" w:rsidR="00771F5A">
        <w:rPr>
          <w:i/>
          <w:lang w:val="en-GB"/>
        </w:rPr>
        <w:t>Z</w:t>
      </w:r>
      <w:bookmarkEnd w:id="3"/>
      <w:r w:rsidRPr="00282178" w:rsidR="00CA4FB9">
        <w:rPr>
          <w:i/>
          <w:lang w:val="en-GB"/>
        </w:rPr>
        <w:t> </w:t>
      </w:r>
      <w:r w:rsidRPr="00282178" w:rsidR="00771F5A">
        <w:rPr>
          <w:i/>
          <w:lang w:val="en-GB"/>
        </w:rPr>
        <w:t>and Others v. the United Kingdom</w:t>
      </w:r>
      <w:r w:rsidRPr="00282178" w:rsidR="00771F5A">
        <w:rPr>
          <w:lang w:val="en-GB"/>
        </w:rPr>
        <w:t xml:space="preserve">, </w:t>
      </w:r>
      <w:r w:rsidRPr="00282178" w:rsidR="009E7E0F">
        <w:rPr>
          <w:lang w:val="en-GB"/>
        </w:rPr>
        <w:t xml:space="preserve">cited above, </w:t>
      </w:r>
      <w:r w:rsidRPr="00282178" w:rsidR="00771F5A">
        <w:rPr>
          <w:lang w:val="en-GB"/>
        </w:rPr>
        <w:t xml:space="preserve">§ </w:t>
      </w:r>
      <w:r w:rsidRPr="00282178" w:rsidR="00771F5A">
        <w:rPr>
          <w:bCs/>
          <w:lang w:val="en-GB"/>
        </w:rPr>
        <w:t xml:space="preserve">108; and </w:t>
      </w:r>
      <w:r w:rsidRPr="00282178" w:rsidR="00771F5A">
        <w:rPr>
          <w:i/>
          <w:lang w:val="en-GB"/>
        </w:rPr>
        <w:t>Centre for Legal Resources on behalf of Valentin Câmpeanu v.</w:t>
      </w:r>
      <w:r w:rsidRPr="00282178">
        <w:rPr>
          <w:i/>
          <w:lang w:val="en-GB"/>
        </w:rPr>
        <w:t> </w:t>
      </w:r>
      <w:r w:rsidRPr="00282178" w:rsidR="00771F5A">
        <w:rPr>
          <w:i/>
          <w:lang w:val="en-GB"/>
        </w:rPr>
        <w:t>Romania</w:t>
      </w:r>
      <w:r w:rsidRPr="00282178" w:rsidR="009E7E0F">
        <w:rPr>
          <w:lang w:val="en-GB"/>
        </w:rPr>
        <w:t xml:space="preserve"> [GC], no. </w:t>
      </w:r>
      <w:r w:rsidRPr="00282178" w:rsidR="00771F5A">
        <w:rPr>
          <w:lang w:val="en-GB"/>
        </w:rPr>
        <w:t xml:space="preserve">47848/08, § </w:t>
      </w:r>
      <w:r w:rsidRPr="00282178" w:rsidR="00771F5A">
        <w:rPr>
          <w:bCs/>
          <w:lang w:val="en-GB"/>
        </w:rPr>
        <w:t>148</w:t>
      </w:r>
      <w:r w:rsidRPr="00282178" w:rsidR="00771F5A">
        <w:rPr>
          <w:lang w:val="en-GB"/>
        </w:rPr>
        <w:t>, ECHR 2014).</w:t>
      </w:r>
      <w:r w:rsidRPr="00282178" w:rsidR="00771F5A">
        <w:rPr>
          <w:bCs/>
          <w:lang w:val="en-GB"/>
        </w:rPr>
        <w:t xml:space="preserve"> The “effectiveness” of a “remedy” within the meaning of Article 13 does not depend on the certainty of a favourable outcome for the applicant (see </w:t>
      </w:r>
      <w:r w:rsidRPr="00282178" w:rsidR="00D243BC">
        <w:rPr>
          <w:bCs/>
          <w:i/>
          <w:lang w:val="en-GB"/>
        </w:rPr>
        <w:t>K. and T. v. Finland</w:t>
      </w:r>
      <w:r w:rsidRPr="00282178" w:rsidR="009E7E0F">
        <w:rPr>
          <w:bCs/>
          <w:lang w:val="en-GB"/>
        </w:rPr>
        <w:t xml:space="preserve"> [GC], no. </w:t>
      </w:r>
      <w:r w:rsidRPr="00282178" w:rsidR="00D243BC">
        <w:rPr>
          <w:bCs/>
          <w:lang w:val="en-GB"/>
        </w:rPr>
        <w:t>25702/94, §§ 198-99, ECHR 2001</w:t>
      </w:r>
      <w:r w:rsidRPr="00282178" w:rsidR="00D243BC">
        <w:rPr>
          <w:bCs/>
          <w:lang w:val="en-GB"/>
        </w:rPr>
        <w:noBreakHyphen/>
        <w:t xml:space="preserve">VII; </w:t>
      </w:r>
      <w:r w:rsidRPr="00282178" w:rsidR="00771F5A">
        <w:rPr>
          <w:bCs/>
          <w:i/>
          <w:lang w:val="en-GB"/>
        </w:rPr>
        <w:t xml:space="preserve">Hirsi Jamaa and Others v. Italy </w:t>
      </w:r>
      <w:r w:rsidRPr="00282178" w:rsidR="00771F5A">
        <w:rPr>
          <w:bCs/>
          <w:lang w:val="en-GB"/>
        </w:rPr>
        <w:t>[GC], no. 27765/09, § 197, ECHR 2012</w:t>
      </w:r>
      <w:r w:rsidRPr="00282178" w:rsidR="00D243BC">
        <w:rPr>
          <w:bCs/>
          <w:lang w:val="en-GB"/>
        </w:rPr>
        <w:t>; and</w:t>
      </w:r>
      <w:r w:rsidRPr="00282178" w:rsidR="00D243BC">
        <w:rPr>
          <w:bCs/>
          <w:i/>
          <w:lang w:val="en-GB"/>
        </w:rPr>
        <w:t xml:space="preserve"> Peter v. Germany</w:t>
      </w:r>
      <w:r w:rsidRPr="00282178" w:rsidR="00D243BC">
        <w:rPr>
          <w:bCs/>
          <w:lang w:val="en-GB"/>
        </w:rPr>
        <w:t>, no. 68919/10, §§ 55-57, 4 September 2014</w:t>
      </w:r>
      <w:r w:rsidRPr="00282178" w:rsidR="00771F5A">
        <w:rPr>
          <w:bCs/>
          <w:lang w:val="en-GB"/>
        </w:rPr>
        <w:t>).</w:t>
      </w:r>
    </w:p>
    <w:p w:rsidRPr="00282178" w:rsidR="000837D9"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73</w:t>
      </w:r>
      <w:r w:rsidRPr="00282178">
        <w:rPr>
          <w:lang w:val="en-GB"/>
        </w:rPr>
        <w:fldChar w:fldCharType="end"/>
      </w:r>
      <w:r w:rsidRPr="00282178" w:rsidR="005270D4">
        <w:rPr>
          <w:lang w:val="en-GB"/>
        </w:rPr>
        <w:t>.  The</w:t>
      </w:r>
      <w:r w:rsidRPr="00282178" w:rsidR="00755F7A">
        <w:rPr>
          <w:lang w:val="en-GB"/>
        </w:rPr>
        <w:t xml:space="preserve"> Court notes that </w:t>
      </w:r>
      <w:r w:rsidRPr="00282178" w:rsidR="000837D9">
        <w:rPr>
          <w:lang w:val="en-GB"/>
        </w:rPr>
        <w:t xml:space="preserve">Russian law enabled </w:t>
      </w:r>
      <w:r w:rsidRPr="00282178" w:rsidR="00755F7A">
        <w:rPr>
          <w:lang w:val="en-GB"/>
        </w:rPr>
        <w:t xml:space="preserve">the applicant </w:t>
      </w:r>
      <w:r w:rsidRPr="00282178" w:rsidR="000837D9">
        <w:rPr>
          <w:lang w:val="en-GB"/>
        </w:rPr>
        <w:t xml:space="preserve">to </w:t>
      </w:r>
      <w:r w:rsidRPr="00282178" w:rsidR="00771F5A">
        <w:rPr>
          <w:lang w:val="en-GB"/>
        </w:rPr>
        <w:t xml:space="preserve">lodge a civil claim for compensation for the </w:t>
      </w:r>
      <w:r w:rsidRPr="00282178" w:rsidR="00D243BC">
        <w:rPr>
          <w:lang w:val="en-GB"/>
        </w:rPr>
        <w:t xml:space="preserve">non-pecuniary </w:t>
      </w:r>
      <w:r w:rsidRPr="00282178" w:rsidR="00771F5A">
        <w:rPr>
          <w:lang w:val="en-GB"/>
        </w:rPr>
        <w:t>damage s</w:t>
      </w:r>
      <w:r w:rsidRPr="00282178" w:rsidR="005270D4">
        <w:rPr>
          <w:lang w:val="en-GB"/>
        </w:rPr>
        <w:t>ustained as a result of the ill</w:t>
      </w:r>
      <w:r w:rsidRPr="00282178" w:rsidR="005270D4">
        <w:rPr>
          <w:lang w:val="en-GB"/>
        </w:rPr>
        <w:noBreakHyphen/>
      </w:r>
      <w:r w:rsidRPr="00282178" w:rsidR="00771F5A">
        <w:rPr>
          <w:lang w:val="en-GB"/>
        </w:rPr>
        <w:t>treatment</w:t>
      </w:r>
      <w:r w:rsidRPr="00282178" w:rsidR="000837D9">
        <w:rPr>
          <w:lang w:val="en-GB"/>
        </w:rPr>
        <w:t xml:space="preserve">. The fact that </w:t>
      </w:r>
      <w:r w:rsidRPr="00282178" w:rsidR="00771F5A">
        <w:rPr>
          <w:lang w:val="en-GB"/>
        </w:rPr>
        <w:t>his claim was granted partially is not in itself sufficient to render the remedy ineffective.</w:t>
      </w:r>
      <w:r w:rsidRPr="00282178" w:rsidR="00DB38AE">
        <w:rPr>
          <w:lang w:val="en-GB"/>
        </w:rPr>
        <w:t xml:space="preserve"> Furthermore, no other evidence has been provided by the applicant to show that the remedy at issue could be considered ineffective.</w:t>
      </w:r>
    </w:p>
    <w:p w:rsidRPr="00282178" w:rsidR="000837D9" w:rsidP="00282178" w:rsidRDefault="009045ED">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74</w:t>
      </w:r>
      <w:r w:rsidRPr="00282178">
        <w:rPr>
          <w:lang w:val="en-GB"/>
        </w:rPr>
        <w:fldChar w:fldCharType="end"/>
      </w:r>
      <w:r w:rsidRPr="00282178" w:rsidR="00DB38AE">
        <w:rPr>
          <w:lang w:val="en-GB"/>
        </w:rPr>
        <w:t>.  </w:t>
      </w:r>
      <w:r w:rsidRPr="00282178" w:rsidR="000837D9">
        <w:rPr>
          <w:lang w:val="en-GB"/>
        </w:rPr>
        <w:t xml:space="preserve">In the light of the foregoing, the Court finds that it has not been shown that the </w:t>
      </w:r>
      <w:r w:rsidRPr="00282178" w:rsidR="00D243BC">
        <w:rPr>
          <w:lang w:val="en-GB"/>
        </w:rPr>
        <w:t>civil-law</w:t>
      </w:r>
      <w:r w:rsidRPr="00282178" w:rsidR="000837D9">
        <w:rPr>
          <w:lang w:val="en-GB"/>
        </w:rPr>
        <w:t xml:space="preserve"> remedy was ineffective.</w:t>
      </w:r>
      <w:r w:rsidRPr="00282178" w:rsidR="00D243BC">
        <w:rPr>
          <w:lang w:val="en-GB"/>
        </w:rPr>
        <w:t> </w:t>
      </w:r>
      <w:r w:rsidRPr="00282178" w:rsidR="000837D9">
        <w:rPr>
          <w:lang w:val="en-GB"/>
        </w:rPr>
        <w:t xml:space="preserve">Accordingly, there has been no violation of Article 13 of the Convention </w:t>
      </w:r>
      <w:r w:rsidRPr="00282178" w:rsidR="00AD7147">
        <w:rPr>
          <w:lang w:val="en-GB"/>
        </w:rPr>
        <w:t>as regards the civil proceedings</w:t>
      </w:r>
      <w:r w:rsidRPr="00282178" w:rsidR="000837D9">
        <w:rPr>
          <w:lang w:val="en-GB"/>
        </w:rPr>
        <w:t>.</w:t>
      </w:r>
    </w:p>
    <w:p w:rsidRPr="00282178" w:rsidR="00014566" w:rsidP="00282178" w:rsidRDefault="000E6983">
      <w:pPr>
        <w:pStyle w:val="ECHRHeading1"/>
        <w:rPr>
          <w:lang w:val="en-GB"/>
        </w:rPr>
      </w:pPr>
      <w:r w:rsidRPr="00282178">
        <w:rPr>
          <w:lang w:val="en-GB"/>
        </w:rPr>
        <w:t>I</w:t>
      </w:r>
      <w:r w:rsidRPr="00282178" w:rsidR="00863DCD">
        <w:rPr>
          <w:lang w:val="en-GB"/>
        </w:rPr>
        <w:t>II</w:t>
      </w:r>
      <w:r w:rsidRPr="00282178" w:rsidR="00014566">
        <w:rPr>
          <w:lang w:val="en-GB"/>
        </w:rPr>
        <w:t>.  APPLICATION OF ARTICLE 41 OF THE CONVENTION</w:t>
      </w:r>
    </w:p>
    <w:p w:rsidRPr="00282178" w:rsidR="00014566"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75</w:t>
      </w:r>
      <w:r w:rsidRPr="00282178">
        <w:rPr>
          <w:lang w:val="en-GB"/>
        </w:rPr>
        <w:fldChar w:fldCharType="end"/>
      </w:r>
      <w:r w:rsidRPr="00282178" w:rsidR="00014566">
        <w:rPr>
          <w:lang w:val="en-GB"/>
        </w:rPr>
        <w:t>.  Article 41 of the Convention provides:</w:t>
      </w:r>
    </w:p>
    <w:p w:rsidRPr="00282178" w:rsidR="00014566" w:rsidP="00282178" w:rsidRDefault="00014566">
      <w:pPr>
        <w:pStyle w:val="ECHRParaQuote"/>
        <w:keepNext/>
        <w:keepLines/>
        <w:rPr>
          <w:lang w:val="en-GB"/>
        </w:rPr>
      </w:pPr>
      <w:r w:rsidRPr="00282178">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82178" w:rsidR="00014566" w:rsidP="00282178" w:rsidRDefault="00014566">
      <w:pPr>
        <w:pStyle w:val="ECHRHeading2"/>
        <w:rPr>
          <w:lang w:val="en-GB"/>
        </w:rPr>
      </w:pPr>
      <w:r w:rsidRPr="00282178">
        <w:rPr>
          <w:lang w:val="en-GB"/>
        </w:rPr>
        <w:t>A.  Damage</w:t>
      </w:r>
    </w:p>
    <w:p w:rsidRPr="00282178" w:rsidR="00014566"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76</w:t>
      </w:r>
      <w:r w:rsidRPr="00282178">
        <w:rPr>
          <w:lang w:val="en-GB"/>
        </w:rPr>
        <w:fldChar w:fldCharType="end"/>
      </w:r>
      <w:r w:rsidRPr="00282178" w:rsidR="00014566">
        <w:rPr>
          <w:lang w:val="en-GB"/>
        </w:rPr>
        <w:t xml:space="preserve">.  The applicant claimed </w:t>
      </w:r>
      <w:r w:rsidRPr="00282178" w:rsidR="00F84769">
        <w:rPr>
          <w:lang w:val="en-GB"/>
        </w:rPr>
        <w:t>50,000</w:t>
      </w:r>
      <w:r w:rsidRPr="00282178" w:rsidR="00014566">
        <w:rPr>
          <w:lang w:val="en-GB"/>
        </w:rPr>
        <w:t xml:space="preserve"> euros (EUR) in respect of </w:t>
      </w:r>
      <w:r w:rsidRPr="00282178" w:rsidR="00F84769">
        <w:rPr>
          <w:lang w:val="en-GB"/>
        </w:rPr>
        <w:t>non</w:t>
      </w:r>
      <w:r w:rsidRPr="00282178" w:rsidR="00F84769">
        <w:rPr>
          <w:lang w:val="en-GB"/>
        </w:rPr>
        <w:noBreakHyphen/>
      </w:r>
      <w:r w:rsidRPr="00282178" w:rsidR="00014566">
        <w:rPr>
          <w:lang w:val="en-GB"/>
        </w:rPr>
        <w:t>pecuniary damage.</w:t>
      </w:r>
    </w:p>
    <w:p w:rsidRPr="00282178" w:rsidR="00014566"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77</w:t>
      </w:r>
      <w:r w:rsidRPr="00282178">
        <w:rPr>
          <w:lang w:val="en-GB"/>
        </w:rPr>
        <w:fldChar w:fldCharType="end"/>
      </w:r>
      <w:r w:rsidRPr="00282178" w:rsidR="00D42552">
        <w:rPr>
          <w:lang w:val="en-GB"/>
        </w:rPr>
        <w:t xml:space="preserve">.  The Government contested </w:t>
      </w:r>
      <w:r w:rsidRPr="00282178" w:rsidR="005434E6">
        <w:rPr>
          <w:lang w:val="en-GB"/>
        </w:rPr>
        <w:t xml:space="preserve">that </w:t>
      </w:r>
      <w:r w:rsidRPr="00282178" w:rsidR="00D42552">
        <w:rPr>
          <w:lang w:val="en-GB"/>
        </w:rPr>
        <w:t>claim.</w:t>
      </w:r>
    </w:p>
    <w:p w:rsidRPr="00282178" w:rsidR="0018380C"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78</w:t>
      </w:r>
      <w:r w:rsidRPr="00282178">
        <w:rPr>
          <w:lang w:val="en-GB"/>
        </w:rPr>
        <w:fldChar w:fldCharType="end"/>
      </w:r>
      <w:r w:rsidRPr="00282178" w:rsidR="00014566">
        <w:rPr>
          <w:lang w:val="en-GB"/>
        </w:rPr>
        <w:t>.  </w:t>
      </w:r>
      <w:r w:rsidRPr="00282178" w:rsidR="00D42552">
        <w:rPr>
          <w:lang w:val="en-GB"/>
        </w:rPr>
        <w:t xml:space="preserve">The Court </w:t>
      </w:r>
      <w:r w:rsidRPr="00282178" w:rsidR="005434E6">
        <w:rPr>
          <w:lang w:val="en-GB"/>
        </w:rPr>
        <w:t xml:space="preserve">has </w:t>
      </w:r>
      <w:r w:rsidRPr="00282178" w:rsidR="0018380C">
        <w:rPr>
          <w:lang w:val="en-GB"/>
        </w:rPr>
        <w:t>found that</w:t>
      </w:r>
      <w:r w:rsidRPr="00282178" w:rsidR="00D42552">
        <w:rPr>
          <w:lang w:val="en-GB"/>
        </w:rPr>
        <w:t xml:space="preserve"> </w:t>
      </w:r>
      <w:r w:rsidRPr="00282178" w:rsidR="0018380C">
        <w:rPr>
          <w:lang w:val="en-GB"/>
        </w:rPr>
        <w:t>the</w:t>
      </w:r>
      <w:r w:rsidRPr="00282178" w:rsidR="00D42552">
        <w:rPr>
          <w:lang w:val="en-GB"/>
        </w:rPr>
        <w:t xml:space="preserve"> applicant can still claim to be </w:t>
      </w:r>
      <w:r w:rsidRPr="00282178" w:rsidR="005434E6">
        <w:rPr>
          <w:lang w:val="en-GB"/>
        </w:rPr>
        <w:t xml:space="preserve">a </w:t>
      </w:r>
      <w:r w:rsidRPr="00282178" w:rsidR="00062860">
        <w:rPr>
          <w:lang w:val="en-GB"/>
        </w:rPr>
        <w:t>victim</w:t>
      </w:r>
      <w:r w:rsidRPr="00282178" w:rsidR="00D42552">
        <w:rPr>
          <w:lang w:val="en-GB"/>
        </w:rPr>
        <w:t xml:space="preserve"> </w:t>
      </w:r>
      <w:r w:rsidRPr="00282178" w:rsidR="0018380C">
        <w:rPr>
          <w:lang w:val="en-GB"/>
        </w:rPr>
        <w:t>of a violation of his rights guaranteed under Article 3</w:t>
      </w:r>
      <w:r w:rsidRPr="00282178" w:rsidR="0018534B">
        <w:rPr>
          <w:lang w:val="en-GB"/>
        </w:rPr>
        <w:t xml:space="preserve"> of the Convention</w:t>
      </w:r>
      <w:r w:rsidRPr="00282178" w:rsidR="0018380C">
        <w:rPr>
          <w:lang w:val="en-GB"/>
        </w:rPr>
        <w:t xml:space="preserve">. Making its assessment on an equitable basis, and taking into account the amount awarded by the domestic courts, </w:t>
      </w:r>
      <w:r w:rsidRPr="00282178" w:rsidR="005434E6">
        <w:rPr>
          <w:lang w:val="en-GB"/>
        </w:rPr>
        <w:t>it</w:t>
      </w:r>
      <w:r w:rsidRPr="00282178" w:rsidR="0018380C">
        <w:rPr>
          <w:lang w:val="en-GB"/>
        </w:rPr>
        <w:t xml:space="preserve"> awards the applicant </w:t>
      </w:r>
      <w:r w:rsidRPr="00282178" w:rsidR="00246ECA">
        <w:rPr>
          <w:lang w:val="en-GB"/>
        </w:rPr>
        <w:t>EUR</w:t>
      </w:r>
      <w:r w:rsidRPr="00282178" w:rsidR="0018534B">
        <w:rPr>
          <w:lang w:val="en-GB"/>
        </w:rPr>
        <w:t> </w:t>
      </w:r>
      <w:r w:rsidRPr="00282178" w:rsidR="00246ECA">
        <w:rPr>
          <w:lang w:val="en-GB"/>
        </w:rPr>
        <w:t>48,550</w:t>
      </w:r>
      <w:r w:rsidRPr="00282178" w:rsidR="0018380C">
        <w:rPr>
          <w:lang w:val="en-GB"/>
        </w:rPr>
        <w:t>, plus any tax that may be chargeable on that amount.</w:t>
      </w:r>
    </w:p>
    <w:p w:rsidRPr="00282178" w:rsidR="00014566" w:rsidP="00282178" w:rsidRDefault="00014566">
      <w:pPr>
        <w:pStyle w:val="ECHRHeading2"/>
        <w:rPr>
          <w:lang w:val="en-GB"/>
        </w:rPr>
      </w:pPr>
      <w:r w:rsidRPr="00282178">
        <w:rPr>
          <w:lang w:val="en-GB"/>
        </w:rPr>
        <w:t>B.  Costs and expenses</w:t>
      </w:r>
    </w:p>
    <w:p w:rsidRPr="00282178" w:rsidR="00A440A3" w:rsidP="00282178" w:rsidRDefault="00062860">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79</w:t>
      </w:r>
      <w:r w:rsidRPr="00282178">
        <w:rPr>
          <w:lang w:val="en-GB"/>
        </w:rPr>
        <w:fldChar w:fldCharType="end"/>
      </w:r>
      <w:r w:rsidRPr="00282178">
        <w:rPr>
          <w:lang w:val="en-GB"/>
        </w:rPr>
        <w:t>.  </w:t>
      </w:r>
      <w:r w:rsidRPr="00282178" w:rsidR="00014566">
        <w:rPr>
          <w:lang w:val="en-GB"/>
        </w:rPr>
        <w:t xml:space="preserve">The applicant also claimed EUR </w:t>
      </w:r>
      <w:r w:rsidRPr="00282178" w:rsidR="00246ECA">
        <w:rPr>
          <w:lang w:val="en-GB"/>
        </w:rPr>
        <w:t>1</w:t>
      </w:r>
      <w:r w:rsidRPr="00282178" w:rsidR="00D44120">
        <w:rPr>
          <w:lang w:val="en-GB"/>
        </w:rPr>
        <w:t>,000</w:t>
      </w:r>
      <w:r w:rsidRPr="00282178" w:rsidR="00014566">
        <w:rPr>
          <w:lang w:val="en-GB"/>
        </w:rPr>
        <w:t xml:space="preserve"> for the costs and expenses incurred before the domestic </w:t>
      </w:r>
      <w:r w:rsidRPr="00282178" w:rsidR="00246ECA">
        <w:rPr>
          <w:lang w:val="en-GB"/>
        </w:rPr>
        <w:t xml:space="preserve">law-enforcement authorities </w:t>
      </w:r>
      <w:r w:rsidRPr="00282178" w:rsidR="00014566">
        <w:rPr>
          <w:lang w:val="en-GB"/>
        </w:rPr>
        <w:t xml:space="preserve">and </w:t>
      </w:r>
      <w:r w:rsidRPr="00282178" w:rsidR="00246ECA">
        <w:rPr>
          <w:lang w:val="en-GB"/>
        </w:rPr>
        <w:t>EUR 3,000</w:t>
      </w:r>
      <w:r w:rsidRPr="00282178" w:rsidR="00014566">
        <w:rPr>
          <w:lang w:val="en-GB"/>
        </w:rPr>
        <w:t xml:space="preserve"> for those incurred before the Court.</w:t>
      </w:r>
    </w:p>
    <w:p w:rsidRPr="00282178" w:rsidR="00014566"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80</w:t>
      </w:r>
      <w:r w:rsidRPr="00282178">
        <w:rPr>
          <w:lang w:val="en-GB"/>
        </w:rPr>
        <w:fldChar w:fldCharType="end"/>
      </w:r>
      <w:r w:rsidRPr="00282178" w:rsidR="00836189">
        <w:rPr>
          <w:lang w:val="en-GB"/>
        </w:rPr>
        <w:t xml:space="preserve">.  The Government contested </w:t>
      </w:r>
      <w:r w:rsidRPr="00282178" w:rsidR="005434E6">
        <w:rPr>
          <w:lang w:val="en-GB"/>
        </w:rPr>
        <w:t xml:space="preserve">that </w:t>
      </w:r>
      <w:r w:rsidRPr="00282178" w:rsidR="00836189">
        <w:rPr>
          <w:lang w:val="en-GB"/>
        </w:rPr>
        <w:t>claim.</w:t>
      </w:r>
    </w:p>
    <w:p w:rsidRPr="00282178" w:rsidR="00014566"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81</w:t>
      </w:r>
      <w:r w:rsidRPr="00282178">
        <w:rPr>
          <w:lang w:val="en-GB"/>
        </w:rPr>
        <w:fldChar w:fldCharType="end"/>
      </w:r>
      <w:r w:rsidRPr="00282178" w:rsidR="00014566">
        <w:rPr>
          <w:lang w:val="en-GB"/>
        </w:rPr>
        <w:t>.  </w:t>
      </w:r>
      <w:r w:rsidRPr="00282178">
        <w:rPr>
          <w:lang w:val="en-GB"/>
        </w:rPr>
        <w:t>According to the Court</w:t>
      </w:r>
      <w:r w:rsidRPr="00282178" w:rsidR="00282178">
        <w:rPr>
          <w:lang w:val="en-GB"/>
        </w:rPr>
        <w:t>’</w:t>
      </w:r>
      <w:r w:rsidRPr="00282178">
        <w:rPr>
          <w:lang w:val="en-GB"/>
        </w:rPr>
        <w:t>s case-law, an applicant is entitled to the reimbursement of costs and expenses only in so far as it has been shown that these have been actually and necessarily incurred and are reasonable as to quantum. In the present case, regard</w:t>
      </w:r>
      <w:r w:rsidRPr="00282178" w:rsidR="00014566">
        <w:rPr>
          <w:lang w:val="en-GB"/>
        </w:rPr>
        <w:t xml:space="preserve"> being had to the documents in its possession and </w:t>
      </w:r>
      <w:r w:rsidRPr="00282178">
        <w:rPr>
          <w:lang w:val="en-GB"/>
        </w:rPr>
        <w:t>the above criteria</w:t>
      </w:r>
      <w:r w:rsidRPr="00282178" w:rsidR="00014566">
        <w:rPr>
          <w:lang w:val="en-GB"/>
        </w:rPr>
        <w:t xml:space="preserve">, the Court rejects the claim for costs and expenses in the domestic proceedings and considers it reasonable to award </w:t>
      </w:r>
      <w:r w:rsidRPr="00282178" w:rsidR="00246ECA">
        <w:rPr>
          <w:lang w:val="en-GB"/>
        </w:rPr>
        <w:t xml:space="preserve">EUR 3,000 </w:t>
      </w:r>
      <w:r w:rsidRPr="00282178" w:rsidR="00014566">
        <w:rPr>
          <w:lang w:val="en-GB"/>
        </w:rPr>
        <w:t xml:space="preserve">for the </w:t>
      </w:r>
      <w:r w:rsidRPr="00282178" w:rsidR="005434E6">
        <w:rPr>
          <w:lang w:val="en-GB"/>
        </w:rPr>
        <w:t xml:space="preserve">costs and expenses in the </w:t>
      </w:r>
      <w:r w:rsidRPr="00282178" w:rsidR="00014566">
        <w:rPr>
          <w:lang w:val="en-GB"/>
        </w:rPr>
        <w:t>proceedings before the Court</w:t>
      </w:r>
      <w:r w:rsidRPr="00282178" w:rsidR="00C33F77">
        <w:rPr>
          <w:lang w:val="en-GB"/>
        </w:rPr>
        <w:t xml:space="preserve">, </w:t>
      </w:r>
      <w:r w:rsidRPr="00282178" w:rsidR="00AD5F7A">
        <w:t xml:space="preserve">plus any tax that may be chargeable to the applicant, </w:t>
      </w:r>
      <w:r w:rsidRPr="00282178" w:rsidR="00C33F77">
        <w:rPr>
          <w:lang w:val="en-GB"/>
        </w:rPr>
        <w:t>to be paid directly to the applicant</w:t>
      </w:r>
      <w:r w:rsidRPr="00282178" w:rsidR="00282178">
        <w:rPr>
          <w:lang w:val="en-GB"/>
        </w:rPr>
        <w:t>’</w:t>
      </w:r>
      <w:r w:rsidRPr="00282178" w:rsidR="00C33F77">
        <w:rPr>
          <w:lang w:val="en-GB"/>
        </w:rPr>
        <w:t xml:space="preserve">s representative, as requested by </w:t>
      </w:r>
      <w:r w:rsidRPr="00282178" w:rsidR="00573571">
        <w:rPr>
          <w:lang w:val="en-GB"/>
        </w:rPr>
        <w:t>him</w:t>
      </w:r>
      <w:r w:rsidRPr="00282178" w:rsidR="00C33F77">
        <w:rPr>
          <w:lang w:val="en-GB"/>
        </w:rPr>
        <w:t>.</w:t>
      </w:r>
    </w:p>
    <w:p w:rsidRPr="00282178" w:rsidR="00014566" w:rsidP="00282178" w:rsidRDefault="00014566">
      <w:pPr>
        <w:pStyle w:val="ECHRHeading2"/>
        <w:rPr>
          <w:lang w:val="en-GB"/>
        </w:rPr>
      </w:pPr>
      <w:r w:rsidRPr="00282178">
        <w:rPr>
          <w:lang w:val="en-GB"/>
        </w:rPr>
        <w:t>C.  Default interest</w:t>
      </w:r>
    </w:p>
    <w:p w:rsidRPr="00282178" w:rsidR="00014566" w:rsidP="00282178" w:rsidRDefault="008F792B">
      <w:pPr>
        <w:pStyle w:val="ECHRPara"/>
        <w:rPr>
          <w:lang w:val="en-GB"/>
        </w:rPr>
      </w:pPr>
      <w:r w:rsidRPr="00282178">
        <w:rPr>
          <w:lang w:val="en-GB"/>
        </w:rPr>
        <w:fldChar w:fldCharType="begin"/>
      </w:r>
      <w:r w:rsidRPr="00282178">
        <w:rPr>
          <w:lang w:val="en-GB"/>
        </w:rPr>
        <w:instrText xml:space="preserve"> SEQ level0 \*arabic </w:instrText>
      </w:r>
      <w:r w:rsidRPr="00282178">
        <w:rPr>
          <w:lang w:val="en-GB"/>
        </w:rPr>
        <w:fldChar w:fldCharType="separate"/>
      </w:r>
      <w:r w:rsidRPr="00282178" w:rsidR="00282178">
        <w:rPr>
          <w:noProof/>
          <w:lang w:val="en-GB"/>
        </w:rPr>
        <w:t>82</w:t>
      </w:r>
      <w:r w:rsidRPr="00282178">
        <w:rPr>
          <w:lang w:val="en-GB"/>
        </w:rPr>
        <w:fldChar w:fldCharType="end"/>
      </w:r>
      <w:r w:rsidRPr="00282178" w:rsidR="00014566">
        <w:rPr>
          <w:lang w:val="en-GB"/>
        </w:rPr>
        <w:t>.  The Court considers it appropriate that the default interest rate should be based on the marginal lending rate of the European Central Bank, to which should be added three percentage points.</w:t>
      </w:r>
    </w:p>
    <w:p w:rsidRPr="00282178" w:rsidR="00014566" w:rsidP="00282178" w:rsidRDefault="00BB5883">
      <w:pPr>
        <w:pStyle w:val="ECHRTitle1"/>
        <w:rPr>
          <w:lang w:val="en-GB"/>
        </w:rPr>
      </w:pPr>
      <w:r w:rsidRPr="00282178">
        <w:rPr>
          <w:lang w:val="en-GB"/>
        </w:rPr>
        <w:t>FOR THESE REASONS, THE COURT</w:t>
      </w:r>
      <w:r w:rsidRPr="00282178" w:rsidR="008F792B">
        <w:rPr>
          <w:lang w:val="en-GB"/>
        </w:rPr>
        <w:t>, UNANIMOUSLY,</w:t>
      </w:r>
    </w:p>
    <w:p w:rsidRPr="00282178" w:rsidR="008F38A4" w:rsidP="00282178" w:rsidRDefault="00B86366">
      <w:pPr>
        <w:pStyle w:val="JuList"/>
        <w:rPr>
          <w:lang w:val="en-GB"/>
        </w:rPr>
      </w:pPr>
      <w:r w:rsidRPr="00282178">
        <w:rPr>
          <w:lang w:val="en-GB"/>
        </w:rPr>
        <w:t>1.</w:t>
      </w:r>
      <w:r w:rsidRPr="00282178" w:rsidR="006B376F">
        <w:rPr>
          <w:lang w:val="en-GB"/>
        </w:rPr>
        <w:t>  </w:t>
      </w:r>
      <w:r w:rsidRPr="00282178" w:rsidR="006B376F">
        <w:rPr>
          <w:i/>
          <w:lang w:val="en-GB"/>
        </w:rPr>
        <w:t>Decides</w:t>
      </w:r>
      <w:r w:rsidRPr="00282178" w:rsidR="006B376F">
        <w:rPr>
          <w:lang w:val="en-GB"/>
        </w:rPr>
        <w:t xml:space="preserve"> </w:t>
      </w:r>
      <w:r w:rsidRPr="00282178" w:rsidR="008F38A4">
        <w:rPr>
          <w:lang w:val="en-GB"/>
        </w:rPr>
        <w:t>to join to the merits the question whether the applicant may still claim to be a victim of a violation of Article 3 of the Convention;</w:t>
      </w:r>
    </w:p>
    <w:p w:rsidRPr="00282178" w:rsidR="006B376F" w:rsidP="00282178" w:rsidRDefault="006B376F">
      <w:pPr>
        <w:pStyle w:val="JuList"/>
        <w:rPr>
          <w:lang w:val="en-GB"/>
        </w:rPr>
      </w:pPr>
    </w:p>
    <w:p w:rsidRPr="00282178" w:rsidR="00014566" w:rsidP="00282178" w:rsidRDefault="006B376F">
      <w:pPr>
        <w:pStyle w:val="JuList"/>
        <w:rPr>
          <w:lang w:val="en-GB"/>
        </w:rPr>
      </w:pPr>
      <w:r w:rsidRPr="00282178">
        <w:rPr>
          <w:lang w:val="en-GB"/>
        </w:rPr>
        <w:t>2.  </w:t>
      </w:r>
      <w:r w:rsidRPr="00282178" w:rsidR="00B86366">
        <w:rPr>
          <w:i/>
          <w:lang w:val="en-GB"/>
        </w:rPr>
        <w:t>Declares</w:t>
      </w:r>
      <w:r w:rsidRPr="00282178" w:rsidR="00B86366">
        <w:rPr>
          <w:lang w:val="en-GB"/>
        </w:rPr>
        <w:t xml:space="preserve"> the application admissible;</w:t>
      </w:r>
    </w:p>
    <w:p w:rsidRPr="00282178" w:rsidR="00B86366" w:rsidP="00282178" w:rsidRDefault="00B86366">
      <w:pPr>
        <w:pStyle w:val="JuList"/>
        <w:ind w:left="0" w:firstLine="0"/>
        <w:rPr>
          <w:lang w:val="en-GB"/>
        </w:rPr>
      </w:pPr>
    </w:p>
    <w:p w:rsidRPr="00282178" w:rsidR="002E39F2" w:rsidP="00282178" w:rsidRDefault="002E39F2">
      <w:pPr>
        <w:pStyle w:val="JuList"/>
        <w:rPr>
          <w:lang w:val="en-GB"/>
        </w:rPr>
      </w:pPr>
      <w:r w:rsidRPr="00282178">
        <w:rPr>
          <w:lang w:val="en-GB"/>
        </w:rPr>
        <w:t>3.  </w:t>
      </w:r>
      <w:r w:rsidRPr="00282178">
        <w:rPr>
          <w:i/>
          <w:lang w:val="en-GB"/>
        </w:rPr>
        <w:t>Holds</w:t>
      </w:r>
      <w:r w:rsidRPr="00282178">
        <w:rPr>
          <w:lang w:val="en-GB"/>
        </w:rPr>
        <w:t xml:space="preserve"> that the applicant may still claim to be </w:t>
      </w:r>
      <w:r w:rsidRPr="00282178" w:rsidR="0028176A">
        <w:rPr>
          <w:lang w:val="en-GB"/>
        </w:rPr>
        <w:t>a</w:t>
      </w:r>
      <w:r w:rsidRPr="00282178">
        <w:rPr>
          <w:lang w:val="en-GB"/>
        </w:rPr>
        <w:t xml:space="preserve"> victim of a violation of Article 3 of the Convention</w:t>
      </w:r>
      <w:r w:rsidRPr="00282178" w:rsidR="009423D0">
        <w:rPr>
          <w:lang w:val="en-GB"/>
        </w:rPr>
        <w:t xml:space="preserve"> for the purposes of Article 34 of the Convention</w:t>
      </w:r>
      <w:r w:rsidRPr="00282178">
        <w:rPr>
          <w:lang w:val="en-GB"/>
        </w:rPr>
        <w:t>;</w:t>
      </w:r>
    </w:p>
    <w:p w:rsidRPr="00282178" w:rsidR="002E39F2" w:rsidP="00282178" w:rsidRDefault="002E39F2">
      <w:pPr>
        <w:pStyle w:val="JuList"/>
        <w:rPr>
          <w:lang w:val="en-GB"/>
        </w:rPr>
      </w:pPr>
    </w:p>
    <w:p w:rsidRPr="00282178" w:rsidR="00014566" w:rsidP="00282178" w:rsidRDefault="002E39F2">
      <w:pPr>
        <w:pStyle w:val="JuList"/>
        <w:rPr>
          <w:lang w:val="en-GB"/>
        </w:rPr>
      </w:pPr>
      <w:r w:rsidRPr="00282178">
        <w:rPr>
          <w:lang w:val="en-GB"/>
        </w:rPr>
        <w:t>4</w:t>
      </w:r>
      <w:r w:rsidRPr="00282178" w:rsidR="00014566">
        <w:rPr>
          <w:lang w:val="en-GB"/>
        </w:rPr>
        <w:t>.  </w:t>
      </w:r>
      <w:r w:rsidRPr="00282178" w:rsidR="00014566">
        <w:rPr>
          <w:i/>
          <w:lang w:val="en-GB"/>
        </w:rPr>
        <w:t>Holds</w:t>
      </w:r>
      <w:r w:rsidRPr="00282178" w:rsidR="008F792B">
        <w:rPr>
          <w:lang w:val="en-GB"/>
        </w:rPr>
        <w:t xml:space="preserve"> </w:t>
      </w:r>
      <w:r w:rsidRPr="00282178" w:rsidR="00014566">
        <w:rPr>
          <w:lang w:val="en-GB"/>
        </w:rPr>
        <w:t xml:space="preserve">that there has been a violation of Article </w:t>
      </w:r>
      <w:r w:rsidRPr="00282178" w:rsidR="00863DCD">
        <w:rPr>
          <w:lang w:val="en-GB"/>
        </w:rPr>
        <w:t>3</w:t>
      </w:r>
      <w:r w:rsidRPr="00282178" w:rsidR="00014566">
        <w:rPr>
          <w:lang w:val="en-GB"/>
        </w:rPr>
        <w:t xml:space="preserve"> of the Convention</w:t>
      </w:r>
      <w:r w:rsidRPr="00282178" w:rsidR="00B86366">
        <w:rPr>
          <w:lang w:val="en-GB"/>
        </w:rPr>
        <w:t xml:space="preserve"> under its substantive </w:t>
      </w:r>
      <w:r w:rsidRPr="00282178" w:rsidR="005434E6">
        <w:rPr>
          <w:lang w:val="en-GB"/>
        </w:rPr>
        <w:t>limb</w:t>
      </w:r>
      <w:r w:rsidRPr="00282178" w:rsidR="00515A6C">
        <w:rPr>
          <w:lang w:val="en-GB"/>
        </w:rPr>
        <w:t xml:space="preserve"> in that the applicant has been subjected to torture</w:t>
      </w:r>
      <w:r w:rsidRPr="00282178" w:rsidR="00014566">
        <w:rPr>
          <w:lang w:val="en-GB"/>
        </w:rPr>
        <w:t>;</w:t>
      </w:r>
    </w:p>
    <w:p w:rsidRPr="00282178" w:rsidR="00014566" w:rsidP="00282178" w:rsidRDefault="00014566">
      <w:pPr>
        <w:pStyle w:val="JuList"/>
        <w:rPr>
          <w:lang w:val="en-GB"/>
        </w:rPr>
      </w:pPr>
    </w:p>
    <w:p w:rsidRPr="00282178" w:rsidR="00863DCD" w:rsidP="00282178" w:rsidRDefault="002E39F2">
      <w:pPr>
        <w:pStyle w:val="JuList"/>
        <w:rPr>
          <w:lang w:val="en-GB"/>
        </w:rPr>
      </w:pPr>
      <w:r w:rsidRPr="00282178">
        <w:rPr>
          <w:lang w:val="en-GB"/>
        </w:rPr>
        <w:t>5</w:t>
      </w:r>
      <w:r w:rsidRPr="00282178" w:rsidR="00863DCD">
        <w:rPr>
          <w:lang w:val="en-GB"/>
        </w:rPr>
        <w:t>.  </w:t>
      </w:r>
      <w:r w:rsidRPr="00282178" w:rsidR="00863DCD">
        <w:rPr>
          <w:i/>
          <w:lang w:val="en-GB"/>
        </w:rPr>
        <w:t>Holds</w:t>
      </w:r>
      <w:r w:rsidRPr="00282178" w:rsidR="00863DCD">
        <w:rPr>
          <w:lang w:val="en-GB"/>
        </w:rPr>
        <w:t xml:space="preserve"> that there has been a violation of Article 3 of the Convention</w:t>
      </w:r>
      <w:r w:rsidRPr="00282178" w:rsidR="00B86366">
        <w:rPr>
          <w:lang w:val="en-GB"/>
        </w:rPr>
        <w:t xml:space="preserve"> under its procedural </w:t>
      </w:r>
      <w:r w:rsidRPr="00282178" w:rsidR="005434E6">
        <w:rPr>
          <w:lang w:val="en-GB"/>
        </w:rPr>
        <w:t>limb</w:t>
      </w:r>
      <w:r w:rsidRPr="00282178" w:rsidR="00515A6C">
        <w:rPr>
          <w:lang w:val="en-GB"/>
        </w:rPr>
        <w:t xml:space="preserve"> on account of the lack of an effective investigation into the applicant</w:t>
      </w:r>
      <w:r w:rsidRPr="00282178" w:rsidR="00282178">
        <w:rPr>
          <w:lang w:val="en-GB"/>
        </w:rPr>
        <w:t>’</w:t>
      </w:r>
      <w:r w:rsidRPr="00282178" w:rsidR="00515A6C">
        <w:rPr>
          <w:lang w:val="en-GB"/>
        </w:rPr>
        <w:t>s allegation of torture by the police</w:t>
      </w:r>
      <w:r w:rsidRPr="00282178" w:rsidR="00863DCD">
        <w:rPr>
          <w:lang w:val="en-GB"/>
        </w:rPr>
        <w:t>;</w:t>
      </w:r>
    </w:p>
    <w:p w:rsidRPr="00282178" w:rsidR="00014566" w:rsidP="00282178" w:rsidRDefault="00014566">
      <w:pPr>
        <w:pStyle w:val="JuList"/>
        <w:rPr>
          <w:lang w:val="en-GB"/>
        </w:rPr>
      </w:pPr>
    </w:p>
    <w:p w:rsidRPr="00282178" w:rsidR="00827F32" w:rsidP="00282178" w:rsidRDefault="002E39F2">
      <w:pPr>
        <w:pStyle w:val="JuList"/>
        <w:rPr>
          <w:lang w:val="en-GB"/>
        </w:rPr>
      </w:pPr>
      <w:r w:rsidRPr="00282178">
        <w:rPr>
          <w:lang w:val="en-GB"/>
        </w:rPr>
        <w:t>6</w:t>
      </w:r>
      <w:r w:rsidRPr="00282178" w:rsidR="00014566">
        <w:rPr>
          <w:lang w:val="en-GB"/>
        </w:rPr>
        <w:t>.  </w:t>
      </w:r>
      <w:r w:rsidRPr="00282178" w:rsidR="00014566">
        <w:rPr>
          <w:i/>
          <w:lang w:val="en-GB"/>
        </w:rPr>
        <w:t>Holds</w:t>
      </w:r>
      <w:r w:rsidRPr="00282178" w:rsidR="008F792B">
        <w:rPr>
          <w:lang w:val="en-GB"/>
        </w:rPr>
        <w:t xml:space="preserve"> </w:t>
      </w:r>
      <w:r w:rsidRPr="00282178" w:rsidR="00014566">
        <w:rPr>
          <w:lang w:val="en-GB"/>
        </w:rPr>
        <w:t xml:space="preserve">that there </w:t>
      </w:r>
      <w:r w:rsidRPr="00282178" w:rsidR="00827F32">
        <w:rPr>
          <w:lang w:val="en-GB"/>
        </w:rPr>
        <w:t xml:space="preserve">is no need to examine </w:t>
      </w:r>
      <w:r w:rsidRPr="00282178" w:rsidR="009423D0">
        <w:rPr>
          <w:lang w:val="en-GB"/>
        </w:rPr>
        <w:t xml:space="preserve">separately </w:t>
      </w:r>
      <w:r w:rsidRPr="00282178" w:rsidR="00827F32">
        <w:rPr>
          <w:lang w:val="en-GB"/>
        </w:rPr>
        <w:t>the complaint under Article 13 of the Convention in conjunction with Article 3 of the Convention as regards the criminal</w:t>
      </w:r>
      <w:r w:rsidRPr="00282178" w:rsidR="00AD7147">
        <w:rPr>
          <w:lang w:val="en-GB"/>
        </w:rPr>
        <w:noBreakHyphen/>
        <w:t>law remedy</w:t>
      </w:r>
      <w:r w:rsidRPr="00282178" w:rsidR="00827F32">
        <w:rPr>
          <w:lang w:val="en-GB"/>
        </w:rPr>
        <w:t>;</w:t>
      </w:r>
    </w:p>
    <w:p w:rsidRPr="00282178" w:rsidR="00C75837" w:rsidP="00282178" w:rsidRDefault="00C75837">
      <w:pPr>
        <w:pStyle w:val="JuList"/>
        <w:rPr>
          <w:lang w:val="en-GB"/>
        </w:rPr>
      </w:pPr>
    </w:p>
    <w:p w:rsidRPr="00282178" w:rsidR="00014566" w:rsidP="00282178" w:rsidRDefault="00827F32">
      <w:pPr>
        <w:pStyle w:val="JuList"/>
        <w:rPr>
          <w:lang w:val="en-GB"/>
        </w:rPr>
      </w:pPr>
      <w:r w:rsidRPr="00282178">
        <w:rPr>
          <w:lang w:val="en-GB"/>
        </w:rPr>
        <w:t>7.  </w:t>
      </w:r>
      <w:r w:rsidRPr="00282178">
        <w:rPr>
          <w:i/>
          <w:lang w:val="en-GB"/>
        </w:rPr>
        <w:t>Holds</w:t>
      </w:r>
      <w:r w:rsidRPr="00282178">
        <w:rPr>
          <w:lang w:val="en-GB"/>
        </w:rPr>
        <w:t xml:space="preserve"> </w:t>
      </w:r>
      <w:r w:rsidRPr="00282178">
        <w:rPr>
          <w:color w:val="000000"/>
          <w:lang w:val="en-GB"/>
        </w:rPr>
        <w:t xml:space="preserve">that there </w:t>
      </w:r>
      <w:r w:rsidRPr="00282178" w:rsidR="00014566">
        <w:rPr>
          <w:lang w:val="en-GB"/>
        </w:rPr>
        <w:t xml:space="preserve">has been </w:t>
      </w:r>
      <w:r w:rsidRPr="00282178">
        <w:rPr>
          <w:lang w:val="en-GB"/>
        </w:rPr>
        <w:t>no</w:t>
      </w:r>
      <w:r w:rsidRPr="00282178" w:rsidR="00014566">
        <w:rPr>
          <w:lang w:val="en-GB"/>
        </w:rPr>
        <w:t xml:space="preserve"> violation of Article </w:t>
      </w:r>
      <w:r w:rsidRPr="00282178" w:rsidR="006B376F">
        <w:rPr>
          <w:lang w:val="en-GB"/>
        </w:rPr>
        <w:t>13</w:t>
      </w:r>
      <w:r w:rsidRPr="00282178" w:rsidR="00014566">
        <w:rPr>
          <w:lang w:val="en-GB"/>
        </w:rPr>
        <w:t xml:space="preserve"> of the Convention</w:t>
      </w:r>
      <w:r w:rsidRPr="00282178" w:rsidR="002E39F2">
        <w:rPr>
          <w:lang w:val="en-GB"/>
        </w:rPr>
        <w:t xml:space="preserve"> in conjunction with Article 3 of the Convention</w:t>
      </w:r>
      <w:r w:rsidRPr="00282178">
        <w:rPr>
          <w:lang w:val="en-GB"/>
        </w:rPr>
        <w:t xml:space="preserve"> as regards the civil proceedings</w:t>
      </w:r>
      <w:r w:rsidRPr="00282178" w:rsidR="00014566">
        <w:rPr>
          <w:lang w:val="en-GB"/>
        </w:rPr>
        <w:t>;</w:t>
      </w:r>
    </w:p>
    <w:p w:rsidRPr="00282178" w:rsidR="00014566" w:rsidP="00282178" w:rsidRDefault="00014566">
      <w:pPr>
        <w:pStyle w:val="JuList"/>
        <w:rPr>
          <w:lang w:val="en-GB"/>
        </w:rPr>
      </w:pPr>
    </w:p>
    <w:p w:rsidRPr="00282178" w:rsidR="00014566" w:rsidP="00282178" w:rsidRDefault="00827F32">
      <w:pPr>
        <w:pStyle w:val="JuList"/>
        <w:rPr>
          <w:lang w:val="en-GB"/>
        </w:rPr>
      </w:pPr>
      <w:r w:rsidRPr="00282178">
        <w:rPr>
          <w:lang w:val="en-GB"/>
        </w:rPr>
        <w:t>8</w:t>
      </w:r>
      <w:r w:rsidRPr="00282178" w:rsidR="00014566">
        <w:rPr>
          <w:lang w:val="en-GB"/>
        </w:rPr>
        <w:t>.  </w:t>
      </w:r>
      <w:r w:rsidRPr="00282178" w:rsidR="00014566">
        <w:rPr>
          <w:i/>
          <w:lang w:val="en-GB"/>
        </w:rPr>
        <w:t>Holds</w:t>
      </w:r>
      <w:r w:rsidRPr="00282178" w:rsidR="00AA2A64">
        <w:rPr>
          <w:lang w:val="en-GB"/>
        </w:rPr>
        <w:t>,</w:t>
      </w:r>
    </w:p>
    <w:p w:rsidRPr="00282178" w:rsidR="00014566" w:rsidP="00282178" w:rsidRDefault="00014566">
      <w:pPr>
        <w:pStyle w:val="JuLista"/>
        <w:rPr>
          <w:lang w:val="en-GB"/>
        </w:rPr>
      </w:pPr>
      <w:r w:rsidRPr="00282178">
        <w:rPr>
          <w:lang w:val="en-GB"/>
        </w:rPr>
        <w:t>(a)  that the respondent State is to pay the applicant, within three months</w:t>
      </w:r>
      <w:r w:rsidRPr="00282178" w:rsidR="00A440A3">
        <w:rPr>
          <w:lang w:val="en-GB"/>
        </w:rPr>
        <w:t xml:space="preserve"> </w:t>
      </w:r>
      <w:r w:rsidRPr="00282178" w:rsidR="008F792B">
        <w:rPr>
          <w:lang w:val="en-GB"/>
        </w:rPr>
        <w:t>from the date on which the judgment becomes final in accordance with Article 44 § 2 of the Convention,</w:t>
      </w:r>
      <w:r w:rsidRPr="00282178">
        <w:rPr>
          <w:lang w:val="en-GB"/>
        </w:rPr>
        <w:t xml:space="preserve"> the following amounts,</w:t>
      </w:r>
      <w:r w:rsidRPr="00282178">
        <w:rPr>
          <w:b/>
          <w:lang w:val="en-GB"/>
        </w:rPr>
        <w:t xml:space="preserve"> </w:t>
      </w:r>
      <w:r w:rsidRPr="00282178">
        <w:rPr>
          <w:lang w:val="en-GB"/>
        </w:rPr>
        <w:t xml:space="preserve">to be converted into </w:t>
      </w:r>
      <w:r w:rsidRPr="00282178">
        <w:rPr>
          <w:color w:val="000000"/>
          <w:lang w:val="en-GB"/>
        </w:rPr>
        <w:t>the currency of the respondent State</w:t>
      </w:r>
      <w:r w:rsidRPr="00282178">
        <w:rPr>
          <w:lang w:val="en-GB"/>
        </w:rPr>
        <w:t xml:space="preserve"> at the rate applicable at the date of settlement:</w:t>
      </w:r>
    </w:p>
    <w:p w:rsidRPr="00282178" w:rsidR="00014566" w:rsidP="00282178" w:rsidRDefault="00014566">
      <w:pPr>
        <w:pStyle w:val="JuListi"/>
        <w:rPr>
          <w:lang w:val="en-GB"/>
        </w:rPr>
      </w:pPr>
      <w:r w:rsidRPr="00282178">
        <w:rPr>
          <w:lang w:val="en-GB"/>
        </w:rPr>
        <w:t xml:space="preserve">(i)  EUR </w:t>
      </w:r>
      <w:r w:rsidRPr="00282178" w:rsidR="00C554D8">
        <w:rPr>
          <w:lang w:val="en-GB"/>
        </w:rPr>
        <w:t>48,550</w:t>
      </w:r>
      <w:r w:rsidRPr="00282178">
        <w:rPr>
          <w:lang w:val="en-GB"/>
        </w:rPr>
        <w:t xml:space="preserve"> (</w:t>
      </w:r>
      <w:r w:rsidRPr="00282178" w:rsidR="00C554D8">
        <w:rPr>
          <w:lang w:val="en-GB"/>
        </w:rPr>
        <w:t xml:space="preserve">forty eight thousand five hundred </w:t>
      </w:r>
      <w:r w:rsidRPr="00282178" w:rsidR="005434E6">
        <w:rPr>
          <w:lang w:val="en-GB"/>
        </w:rPr>
        <w:t xml:space="preserve">and </w:t>
      </w:r>
      <w:r w:rsidRPr="00282178" w:rsidR="00C554D8">
        <w:rPr>
          <w:lang w:val="en-GB"/>
        </w:rPr>
        <w:t>fifty</w:t>
      </w:r>
      <w:r w:rsidRPr="00282178">
        <w:rPr>
          <w:lang w:val="en-GB"/>
        </w:rPr>
        <w:t xml:space="preserve"> euros), plus any tax that may be chargeable, in respect of non-pecuniary damage;</w:t>
      </w:r>
    </w:p>
    <w:p w:rsidRPr="00282178" w:rsidR="00014566" w:rsidP="00282178" w:rsidRDefault="006B376F">
      <w:pPr>
        <w:pStyle w:val="JuListi"/>
        <w:rPr>
          <w:lang w:val="en-GB"/>
        </w:rPr>
      </w:pPr>
      <w:r w:rsidRPr="00282178">
        <w:rPr>
          <w:lang w:val="en-GB"/>
        </w:rPr>
        <w:t>(ii</w:t>
      </w:r>
      <w:r w:rsidRPr="00282178" w:rsidR="00014566">
        <w:rPr>
          <w:lang w:val="en-GB"/>
        </w:rPr>
        <w:t xml:space="preserve">)  EUR </w:t>
      </w:r>
      <w:r w:rsidRPr="00282178" w:rsidR="00C554D8">
        <w:rPr>
          <w:lang w:val="en-GB"/>
        </w:rPr>
        <w:t>3,000</w:t>
      </w:r>
      <w:r w:rsidRPr="00282178" w:rsidR="00014566">
        <w:rPr>
          <w:lang w:val="en-GB"/>
        </w:rPr>
        <w:t xml:space="preserve"> (</w:t>
      </w:r>
      <w:r w:rsidRPr="00282178" w:rsidR="00C554D8">
        <w:rPr>
          <w:lang w:val="en-GB"/>
        </w:rPr>
        <w:t>three thousand</w:t>
      </w:r>
      <w:r w:rsidRPr="00282178" w:rsidR="00014566">
        <w:rPr>
          <w:lang w:val="en-GB"/>
        </w:rPr>
        <w:t xml:space="preserve"> euros), </w:t>
      </w:r>
      <w:r w:rsidRPr="00282178" w:rsidR="00F24150">
        <w:t xml:space="preserve">plus any tax that may be chargeable to the applicant, in respect of costs and expenses, to be paid </w:t>
      </w:r>
      <w:r w:rsidRPr="00282178" w:rsidR="00F24150">
        <w:rPr>
          <w:lang w:val="en-GB"/>
        </w:rPr>
        <w:t>directly to the applicant</w:t>
      </w:r>
      <w:r w:rsidRPr="00282178" w:rsidR="00282178">
        <w:rPr>
          <w:lang w:val="en-GB"/>
        </w:rPr>
        <w:t>’</w:t>
      </w:r>
      <w:r w:rsidRPr="00282178" w:rsidR="00F24150">
        <w:rPr>
          <w:lang w:val="en-GB"/>
        </w:rPr>
        <w:t>s representative</w:t>
      </w:r>
      <w:r w:rsidRPr="00282178" w:rsidR="00F24150">
        <w:t>;</w:t>
      </w:r>
    </w:p>
    <w:p w:rsidRPr="00282178" w:rsidR="00014566" w:rsidP="00282178" w:rsidRDefault="00014566">
      <w:pPr>
        <w:pStyle w:val="JuLista"/>
        <w:rPr>
          <w:lang w:val="en-GB"/>
        </w:rPr>
      </w:pPr>
      <w:r w:rsidRPr="00282178">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282178" w:rsidR="002E39F2" w:rsidP="00282178" w:rsidRDefault="002E39F2">
      <w:pPr>
        <w:pStyle w:val="JuLista"/>
        <w:rPr>
          <w:lang w:val="en-GB"/>
        </w:rPr>
      </w:pPr>
    </w:p>
    <w:p w:rsidRPr="00282178" w:rsidR="00014566" w:rsidP="00282178" w:rsidRDefault="00827F32">
      <w:pPr>
        <w:pStyle w:val="JuList"/>
        <w:rPr>
          <w:lang w:val="en-GB"/>
        </w:rPr>
      </w:pPr>
      <w:r w:rsidRPr="00282178">
        <w:rPr>
          <w:lang w:val="en-GB"/>
        </w:rPr>
        <w:t>9</w:t>
      </w:r>
      <w:r w:rsidRPr="00282178" w:rsidR="002E39F2">
        <w:rPr>
          <w:lang w:val="en-GB"/>
        </w:rPr>
        <w:t>.  </w:t>
      </w:r>
      <w:r w:rsidRPr="00282178" w:rsidR="002E39F2">
        <w:rPr>
          <w:i/>
          <w:lang w:val="en-GB"/>
        </w:rPr>
        <w:t>Dismisses</w:t>
      </w:r>
      <w:r w:rsidRPr="00282178" w:rsidR="002E39F2">
        <w:rPr>
          <w:lang w:val="en-GB"/>
        </w:rPr>
        <w:t xml:space="preserve"> the remainder of the applicant</w:t>
      </w:r>
      <w:r w:rsidRPr="00282178" w:rsidR="00282178">
        <w:rPr>
          <w:lang w:val="en-GB"/>
        </w:rPr>
        <w:t>’</w:t>
      </w:r>
      <w:r w:rsidRPr="00282178" w:rsidR="002E39F2">
        <w:rPr>
          <w:lang w:val="en-GB"/>
        </w:rPr>
        <w:t>s claims for just satisfaction.</w:t>
      </w:r>
    </w:p>
    <w:p w:rsidRPr="00282178" w:rsidR="00014566" w:rsidP="00282178" w:rsidRDefault="00014566">
      <w:pPr>
        <w:pStyle w:val="JuParaLast"/>
        <w:rPr>
          <w:lang w:val="en-GB"/>
        </w:rPr>
      </w:pPr>
      <w:r w:rsidRPr="00282178">
        <w:rPr>
          <w:lang w:val="en-GB"/>
        </w:rPr>
        <w:t xml:space="preserve">Done in English, and notified in writing on </w:t>
      </w:r>
      <w:r w:rsidRPr="00282178" w:rsidR="00F310A4">
        <w:rPr>
          <w:lang w:val="en-GB"/>
        </w:rPr>
        <w:t>28 March 2017</w:t>
      </w:r>
      <w:r w:rsidRPr="00282178">
        <w:rPr>
          <w:lang w:val="en-GB"/>
        </w:rPr>
        <w:t>, pursuant to Rule 77 §§ 2 and 3 of the Rules of Court.</w:t>
      </w:r>
    </w:p>
    <w:p w:rsidRPr="00282178" w:rsidR="004D15F3" w:rsidP="00282178" w:rsidRDefault="006C202D">
      <w:pPr>
        <w:pStyle w:val="JuSigned"/>
        <w:rPr>
          <w:lang w:val="en-GB"/>
        </w:rPr>
      </w:pPr>
      <w:r w:rsidRPr="00282178">
        <w:rPr>
          <w:lang w:val="en-GB"/>
        </w:rPr>
        <w:tab/>
        <w:t>Stephen Phillips</w:t>
      </w:r>
      <w:r w:rsidRPr="00282178">
        <w:rPr>
          <w:lang w:val="en-GB"/>
        </w:rPr>
        <w:tab/>
      </w:r>
      <w:r w:rsidRPr="00282178">
        <w:rPr>
          <w:szCs w:val="24"/>
          <w:lang w:val="en-GB"/>
        </w:rPr>
        <w:t>Helena Jäderblom</w:t>
      </w:r>
      <w:r w:rsidRPr="00282178">
        <w:rPr>
          <w:szCs w:val="24"/>
          <w:lang w:val="en-GB"/>
        </w:rPr>
        <w:br/>
      </w:r>
      <w:r w:rsidRPr="00282178">
        <w:rPr>
          <w:lang w:val="en-GB"/>
        </w:rPr>
        <w:tab/>
      </w:r>
      <w:r w:rsidRPr="00282178">
        <w:rPr>
          <w:iCs/>
          <w:lang w:val="en-GB"/>
        </w:rPr>
        <w:t>Registrar</w:t>
      </w:r>
      <w:r w:rsidRPr="00282178">
        <w:rPr>
          <w:lang w:val="en-GB"/>
        </w:rPr>
        <w:tab/>
        <w:t>President</w:t>
      </w:r>
    </w:p>
    <w:sectPr w:rsidRPr="00282178" w:rsidR="004D15F3" w:rsidSect="009045ED">
      <w:headerReference w:type="even" r:id="rId11"/>
      <w:headerReference w:type="default" r:id="rId12"/>
      <w:footnotePr>
        <w:numRestart w:val="eachSect"/>
      </w:footnotePr>
      <w:type w:val="oddPage"/>
      <w:pgSz w:w="11906" w:h="16838" w:code="9"/>
      <w:pgMar w:top="2274" w:right="2274" w:bottom="2127"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32" w:rsidRPr="009045ED" w:rsidRDefault="008B6232" w:rsidP="00014566">
      <w:pPr>
        <w:rPr>
          <w:lang w:val="en-GB"/>
        </w:rPr>
      </w:pPr>
      <w:r w:rsidRPr="009045ED">
        <w:rPr>
          <w:lang w:val="en-GB"/>
        </w:rPr>
        <w:separator/>
      </w:r>
    </w:p>
  </w:endnote>
  <w:endnote w:type="continuationSeparator" w:id="0">
    <w:p w:rsidR="008B6232" w:rsidRPr="009045ED" w:rsidRDefault="008B6232" w:rsidP="00014566">
      <w:pPr>
        <w:rPr>
          <w:lang w:val="en-GB"/>
        </w:rPr>
      </w:pPr>
      <w:r w:rsidRPr="009045E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37" w:rsidRPr="009045ED" w:rsidRDefault="00383037" w:rsidP="0020718E">
    <w:pPr>
      <w:jc w:val="center"/>
      <w:rPr>
        <w:lang w:val="en-GB"/>
      </w:rPr>
    </w:pPr>
    <w:r w:rsidRPr="009045ED">
      <w:rPr>
        <w:noProof/>
        <w:lang w:eastAsia="ja-JP"/>
      </w:rPr>
      <w:drawing>
        <wp:inline distT="0" distB="0" distL="0" distR="0" wp14:anchorId="1515A701" wp14:editId="7AB49612">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83037" w:rsidRPr="009045ED" w:rsidRDefault="0038303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32" w:rsidRPr="009045ED" w:rsidRDefault="008B6232" w:rsidP="00014566">
      <w:pPr>
        <w:rPr>
          <w:lang w:val="en-GB"/>
        </w:rPr>
      </w:pPr>
      <w:r w:rsidRPr="009045ED">
        <w:rPr>
          <w:lang w:val="en-GB"/>
        </w:rPr>
        <w:separator/>
      </w:r>
    </w:p>
  </w:footnote>
  <w:footnote w:type="continuationSeparator" w:id="0">
    <w:p w:rsidR="008B6232" w:rsidRPr="009045ED" w:rsidRDefault="008B6232" w:rsidP="00014566">
      <w:pPr>
        <w:rPr>
          <w:lang w:val="en-GB"/>
        </w:rPr>
      </w:pPr>
      <w:r w:rsidRPr="009045ED">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32" w:rsidRPr="009045ED" w:rsidRDefault="008B6232" w:rsidP="00383037">
    <w:pPr>
      <w:pStyle w:val="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37" w:rsidRPr="009045ED" w:rsidRDefault="00383037" w:rsidP="00A45145">
    <w:pPr>
      <w:jc w:val="center"/>
      <w:rPr>
        <w:lang w:val="en-GB"/>
      </w:rPr>
    </w:pPr>
    <w:r w:rsidRPr="009045ED">
      <w:rPr>
        <w:noProof/>
        <w:lang w:eastAsia="ja-JP"/>
      </w:rPr>
      <w:drawing>
        <wp:inline distT="0" distB="0" distL="0" distR="0" wp14:anchorId="066F0A7C" wp14:editId="6CF1D8C3">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83037" w:rsidRPr="009045ED" w:rsidRDefault="00383037">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37" w:rsidRPr="003A441D" w:rsidRDefault="00383037"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282178">
      <w:rPr>
        <w:rStyle w:val="PageNumber"/>
        <w:noProof/>
        <w:szCs w:val="18"/>
        <w:lang w:val="en-GB"/>
      </w:rPr>
      <w:t>12</w:t>
    </w:r>
    <w:r>
      <w:rPr>
        <w:rStyle w:val="PageNumber"/>
        <w:szCs w:val="18"/>
        <w:lang w:val="en-GB"/>
      </w:rPr>
      <w:fldChar w:fldCharType="end"/>
    </w:r>
    <w:r w:rsidRPr="003A441D">
      <w:rPr>
        <w:lang w:val="en-GB"/>
      </w:rPr>
      <w:tab/>
    </w:r>
    <w:r>
      <w:rPr>
        <w:lang w:val="en-GB"/>
      </w:rPr>
      <w:t>SHESTOPALOV v. RUSSIA</w:t>
    </w:r>
    <w:r w:rsidRPr="003A441D">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37" w:rsidRPr="003A441D" w:rsidRDefault="00383037" w:rsidP="00D60D87">
    <w:pPr>
      <w:pStyle w:val="ECHRHeader"/>
      <w:rPr>
        <w:lang w:val="en-GB"/>
      </w:rPr>
    </w:pPr>
    <w:r w:rsidRPr="003A441D">
      <w:rPr>
        <w:lang w:val="en-GB"/>
      </w:rPr>
      <w:tab/>
    </w:r>
    <w:r>
      <w:rPr>
        <w:lang w:val="en-GB"/>
      </w:rPr>
      <w:t>SHESTOPALOV v. RUSSIA</w:t>
    </w:r>
    <w:r w:rsidRPr="003A441D">
      <w:rPr>
        <w:lang w:val="en-GB"/>
      </w:rPr>
      <w:t xml:space="preserve"> </w:t>
    </w:r>
    <w:r>
      <w:rPr>
        <w:lang w:val="en-GB"/>
      </w:rPr>
      <w:t>JUDGMENT</w:t>
    </w:r>
    <w:r w:rsidRPr="003A441D">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282178">
      <w:rPr>
        <w:rStyle w:val="PageNumber"/>
        <w:noProof/>
        <w:szCs w:val="18"/>
        <w:lang w:val="en-GB"/>
      </w:rPr>
      <w:t>13</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F792B"/>
    <w:rsid w:val="000010ED"/>
    <w:rsid w:val="000041F8"/>
    <w:rsid w:val="000042A8"/>
    <w:rsid w:val="00004308"/>
    <w:rsid w:val="00004FAE"/>
    <w:rsid w:val="00005BF0"/>
    <w:rsid w:val="00007154"/>
    <w:rsid w:val="000103AE"/>
    <w:rsid w:val="000116B5"/>
    <w:rsid w:val="00011D69"/>
    <w:rsid w:val="00012AD3"/>
    <w:rsid w:val="00013C9D"/>
    <w:rsid w:val="00014566"/>
    <w:rsid w:val="00015C2D"/>
    <w:rsid w:val="00015F00"/>
    <w:rsid w:val="00016840"/>
    <w:rsid w:val="00022C1D"/>
    <w:rsid w:val="0002453A"/>
    <w:rsid w:val="00025B5B"/>
    <w:rsid w:val="00031926"/>
    <w:rsid w:val="000322AD"/>
    <w:rsid w:val="000346C4"/>
    <w:rsid w:val="00034987"/>
    <w:rsid w:val="000350E3"/>
    <w:rsid w:val="00045DF6"/>
    <w:rsid w:val="000500B3"/>
    <w:rsid w:val="000500D3"/>
    <w:rsid w:val="000602DF"/>
    <w:rsid w:val="00061B05"/>
    <w:rsid w:val="00062860"/>
    <w:rsid w:val="00062973"/>
    <w:rsid w:val="00062D5D"/>
    <w:rsid w:val="00062DB9"/>
    <w:rsid w:val="000632D5"/>
    <w:rsid w:val="00063FC2"/>
    <w:rsid w:val="000644EE"/>
    <w:rsid w:val="00071ABC"/>
    <w:rsid w:val="0007779D"/>
    <w:rsid w:val="000837D9"/>
    <w:rsid w:val="000856D7"/>
    <w:rsid w:val="000860D3"/>
    <w:rsid w:val="000925AD"/>
    <w:rsid w:val="000A24EB"/>
    <w:rsid w:val="000A6495"/>
    <w:rsid w:val="000B2BC3"/>
    <w:rsid w:val="000B3826"/>
    <w:rsid w:val="000B4F2B"/>
    <w:rsid w:val="000B6923"/>
    <w:rsid w:val="000C033C"/>
    <w:rsid w:val="000C5F3C"/>
    <w:rsid w:val="000C6DCC"/>
    <w:rsid w:val="000C7211"/>
    <w:rsid w:val="000D47AA"/>
    <w:rsid w:val="000D721F"/>
    <w:rsid w:val="000E042B"/>
    <w:rsid w:val="000E069B"/>
    <w:rsid w:val="000E0E82"/>
    <w:rsid w:val="000E1B84"/>
    <w:rsid w:val="000E1DC5"/>
    <w:rsid w:val="000E223F"/>
    <w:rsid w:val="000E35AC"/>
    <w:rsid w:val="000E6983"/>
    <w:rsid w:val="000E7D45"/>
    <w:rsid w:val="000F7851"/>
    <w:rsid w:val="00101BB5"/>
    <w:rsid w:val="001027B5"/>
    <w:rsid w:val="00104E23"/>
    <w:rsid w:val="0010601A"/>
    <w:rsid w:val="00111B0C"/>
    <w:rsid w:val="001121D0"/>
    <w:rsid w:val="00116305"/>
    <w:rsid w:val="00117979"/>
    <w:rsid w:val="00120D6C"/>
    <w:rsid w:val="00122B14"/>
    <w:rsid w:val="00123AB6"/>
    <w:rsid w:val="001250F7"/>
    <w:rsid w:val="001257EC"/>
    <w:rsid w:val="001265A3"/>
    <w:rsid w:val="00126C38"/>
    <w:rsid w:val="00126F53"/>
    <w:rsid w:val="0012789E"/>
    <w:rsid w:val="00131290"/>
    <w:rsid w:val="00132C6A"/>
    <w:rsid w:val="001330B6"/>
    <w:rsid w:val="00133D33"/>
    <w:rsid w:val="001341CC"/>
    <w:rsid w:val="00134D64"/>
    <w:rsid w:val="00135A30"/>
    <w:rsid w:val="0013612C"/>
    <w:rsid w:val="00137FF6"/>
    <w:rsid w:val="00141650"/>
    <w:rsid w:val="00147AD9"/>
    <w:rsid w:val="00156470"/>
    <w:rsid w:val="00161AEE"/>
    <w:rsid w:val="00162A12"/>
    <w:rsid w:val="00166530"/>
    <w:rsid w:val="0016758E"/>
    <w:rsid w:val="0017475F"/>
    <w:rsid w:val="00181924"/>
    <w:rsid w:val="001832BD"/>
    <w:rsid w:val="0018380C"/>
    <w:rsid w:val="0018534B"/>
    <w:rsid w:val="00187D08"/>
    <w:rsid w:val="0019349D"/>
    <w:rsid w:val="001943B5"/>
    <w:rsid w:val="00195134"/>
    <w:rsid w:val="001A01CE"/>
    <w:rsid w:val="001A145B"/>
    <w:rsid w:val="001A674C"/>
    <w:rsid w:val="001B0102"/>
    <w:rsid w:val="001B3B24"/>
    <w:rsid w:val="001B4811"/>
    <w:rsid w:val="001C0F98"/>
    <w:rsid w:val="001C2A42"/>
    <w:rsid w:val="001D63ED"/>
    <w:rsid w:val="001D7348"/>
    <w:rsid w:val="001E0133"/>
    <w:rsid w:val="001E035B"/>
    <w:rsid w:val="001E0961"/>
    <w:rsid w:val="001E0A49"/>
    <w:rsid w:val="001E301E"/>
    <w:rsid w:val="001E3EAE"/>
    <w:rsid w:val="001E5348"/>
    <w:rsid w:val="001E6F32"/>
    <w:rsid w:val="001F2145"/>
    <w:rsid w:val="001F5983"/>
    <w:rsid w:val="001F6262"/>
    <w:rsid w:val="001F67B0"/>
    <w:rsid w:val="001F7B3D"/>
    <w:rsid w:val="00205F9F"/>
    <w:rsid w:val="00210338"/>
    <w:rsid w:val="002115FC"/>
    <w:rsid w:val="002133F8"/>
    <w:rsid w:val="0021423C"/>
    <w:rsid w:val="002179CB"/>
    <w:rsid w:val="00227236"/>
    <w:rsid w:val="00230D00"/>
    <w:rsid w:val="00231DF7"/>
    <w:rsid w:val="00231FD1"/>
    <w:rsid w:val="002339E0"/>
    <w:rsid w:val="00233CF8"/>
    <w:rsid w:val="00234D94"/>
    <w:rsid w:val="00235680"/>
    <w:rsid w:val="0023575D"/>
    <w:rsid w:val="00237148"/>
    <w:rsid w:val="002376EB"/>
    <w:rsid w:val="0024222D"/>
    <w:rsid w:val="00244B0E"/>
    <w:rsid w:val="00244F6C"/>
    <w:rsid w:val="00246ECA"/>
    <w:rsid w:val="00251C25"/>
    <w:rsid w:val="002532C5"/>
    <w:rsid w:val="00256538"/>
    <w:rsid w:val="00260C03"/>
    <w:rsid w:val="002624B9"/>
    <w:rsid w:val="00263D07"/>
    <w:rsid w:val="00264ECE"/>
    <w:rsid w:val="0026540E"/>
    <w:rsid w:val="002669C8"/>
    <w:rsid w:val="0027225C"/>
    <w:rsid w:val="002722B5"/>
    <w:rsid w:val="002725A6"/>
    <w:rsid w:val="00275123"/>
    <w:rsid w:val="00277CA6"/>
    <w:rsid w:val="00280D12"/>
    <w:rsid w:val="0028176A"/>
    <w:rsid w:val="00282178"/>
    <w:rsid w:val="00282240"/>
    <w:rsid w:val="0028572A"/>
    <w:rsid w:val="002859FF"/>
    <w:rsid w:val="00286EE4"/>
    <w:rsid w:val="00290A4D"/>
    <w:rsid w:val="002925F1"/>
    <w:rsid w:val="002948AD"/>
    <w:rsid w:val="00294C05"/>
    <w:rsid w:val="00294C92"/>
    <w:rsid w:val="002A01CC"/>
    <w:rsid w:val="002A18BE"/>
    <w:rsid w:val="002A3B2C"/>
    <w:rsid w:val="002A4348"/>
    <w:rsid w:val="002A61B1"/>
    <w:rsid w:val="002A663C"/>
    <w:rsid w:val="002B0181"/>
    <w:rsid w:val="002B1E6C"/>
    <w:rsid w:val="002B444B"/>
    <w:rsid w:val="002B5887"/>
    <w:rsid w:val="002B6111"/>
    <w:rsid w:val="002C0692"/>
    <w:rsid w:val="002C0E27"/>
    <w:rsid w:val="002C2DF7"/>
    <w:rsid w:val="002C3040"/>
    <w:rsid w:val="002C3881"/>
    <w:rsid w:val="002C515C"/>
    <w:rsid w:val="002D022D"/>
    <w:rsid w:val="002D02C9"/>
    <w:rsid w:val="002D0379"/>
    <w:rsid w:val="002D0F57"/>
    <w:rsid w:val="002D24BB"/>
    <w:rsid w:val="002D47DC"/>
    <w:rsid w:val="002E39F2"/>
    <w:rsid w:val="002E43DF"/>
    <w:rsid w:val="002F2AF7"/>
    <w:rsid w:val="002F335F"/>
    <w:rsid w:val="002F7E1C"/>
    <w:rsid w:val="00301A75"/>
    <w:rsid w:val="00302F70"/>
    <w:rsid w:val="0030336F"/>
    <w:rsid w:val="0030375E"/>
    <w:rsid w:val="00312A30"/>
    <w:rsid w:val="00320F72"/>
    <w:rsid w:val="00322766"/>
    <w:rsid w:val="0032463E"/>
    <w:rsid w:val="00326224"/>
    <w:rsid w:val="00326266"/>
    <w:rsid w:val="0032676F"/>
    <w:rsid w:val="00334E62"/>
    <w:rsid w:val="00336232"/>
    <w:rsid w:val="00337AF3"/>
    <w:rsid w:val="00337EE4"/>
    <w:rsid w:val="00340FFD"/>
    <w:rsid w:val="003432B8"/>
    <w:rsid w:val="00345B3F"/>
    <w:rsid w:val="003506B1"/>
    <w:rsid w:val="00356AC7"/>
    <w:rsid w:val="003609FA"/>
    <w:rsid w:val="00363316"/>
    <w:rsid w:val="0036590A"/>
    <w:rsid w:val="003710C8"/>
    <w:rsid w:val="00374CDF"/>
    <w:rsid w:val="003750BE"/>
    <w:rsid w:val="00383037"/>
    <w:rsid w:val="00387B9D"/>
    <w:rsid w:val="0039017B"/>
    <w:rsid w:val="0039364F"/>
    <w:rsid w:val="00395F4A"/>
    <w:rsid w:val="00396686"/>
    <w:rsid w:val="0039778E"/>
    <w:rsid w:val="00397DBE"/>
    <w:rsid w:val="003A441D"/>
    <w:rsid w:val="003A7296"/>
    <w:rsid w:val="003B059D"/>
    <w:rsid w:val="003B4941"/>
    <w:rsid w:val="003B7852"/>
    <w:rsid w:val="003C0268"/>
    <w:rsid w:val="003C212C"/>
    <w:rsid w:val="003C5714"/>
    <w:rsid w:val="003C6B9F"/>
    <w:rsid w:val="003C6E2A"/>
    <w:rsid w:val="003D0299"/>
    <w:rsid w:val="003D5C11"/>
    <w:rsid w:val="003E6D80"/>
    <w:rsid w:val="003F05FA"/>
    <w:rsid w:val="003F244A"/>
    <w:rsid w:val="003F30B8"/>
    <w:rsid w:val="003F4C45"/>
    <w:rsid w:val="003F5F7B"/>
    <w:rsid w:val="003F6937"/>
    <w:rsid w:val="003F7D64"/>
    <w:rsid w:val="00400B4C"/>
    <w:rsid w:val="00403AEA"/>
    <w:rsid w:val="00414300"/>
    <w:rsid w:val="004173E2"/>
    <w:rsid w:val="00425C67"/>
    <w:rsid w:val="004269B9"/>
    <w:rsid w:val="00427E7A"/>
    <w:rsid w:val="00430BFC"/>
    <w:rsid w:val="0043240E"/>
    <w:rsid w:val="00434580"/>
    <w:rsid w:val="00436307"/>
    <w:rsid w:val="00436C49"/>
    <w:rsid w:val="004370C5"/>
    <w:rsid w:val="00445366"/>
    <w:rsid w:val="00447F5B"/>
    <w:rsid w:val="00454CCB"/>
    <w:rsid w:val="00460238"/>
    <w:rsid w:val="00461A9C"/>
    <w:rsid w:val="00461DB0"/>
    <w:rsid w:val="00463926"/>
    <w:rsid w:val="004646E0"/>
    <w:rsid w:val="00464C9A"/>
    <w:rsid w:val="004667A6"/>
    <w:rsid w:val="004714BD"/>
    <w:rsid w:val="00471A34"/>
    <w:rsid w:val="00472AD0"/>
    <w:rsid w:val="00474F3D"/>
    <w:rsid w:val="00476245"/>
    <w:rsid w:val="004767C6"/>
    <w:rsid w:val="00477E3A"/>
    <w:rsid w:val="0048136B"/>
    <w:rsid w:val="004830CF"/>
    <w:rsid w:val="00483E5F"/>
    <w:rsid w:val="004856DE"/>
    <w:rsid w:val="00485FF9"/>
    <w:rsid w:val="00486286"/>
    <w:rsid w:val="004878D1"/>
    <w:rsid w:val="004907F0"/>
    <w:rsid w:val="00490A9D"/>
    <w:rsid w:val="0049140B"/>
    <w:rsid w:val="004923A5"/>
    <w:rsid w:val="004957DC"/>
    <w:rsid w:val="00496BFB"/>
    <w:rsid w:val="004A15C7"/>
    <w:rsid w:val="004A65A0"/>
    <w:rsid w:val="004B013B"/>
    <w:rsid w:val="004B077F"/>
    <w:rsid w:val="004B112B"/>
    <w:rsid w:val="004B17AD"/>
    <w:rsid w:val="004B5784"/>
    <w:rsid w:val="004C01E4"/>
    <w:rsid w:val="004C086C"/>
    <w:rsid w:val="004C1F56"/>
    <w:rsid w:val="004C27BC"/>
    <w:rsid w:val="004C473D"/>
    <w:rsid w:val="004C58AC"/>
    <w:rsid w:val="004C63A9"/>
    <w:rsid w:val="004C67BA"/>
    <w:rsid w:val="004D00D3"/>
    <w:rsid w:val="004D15F3"/>
    <w:rsid w:val="004D5311"/>
    <w:rsid w:val="004D5CA7"/>
    <w:rsid w:val="004D5DCC"/>
    <w:rsid w:val="004E25B6"/>
    <w:rsid w:val="004F10AF"/>
    <w:rsid w:val="004F11A4"/>
    <w:rsid w:val="004F2389"/>
    <w:rsid w:val="004F304D"/>
    <w:rsid w:val="004F3BB4"/>
    <w:rsid w:val="004F5E21"/>
    <w:rsid w:val="004F61BE"/>
    <w:rsid w:val="004F66B1"/>
    <w:rsid w:val="005007D3"/>
    <w:rsid w:val="0050135D"/>
    <w:rsid w:val="00501FA7"/>
    <w:rsid w:val="0050513E"/>
    <w:rsid w:val="005060B1"/>
    <w:rsid w:val="00506453"/>
    <w:rsid w:val="00511691"/>
    <w:rsid w:val="00511C07"/>
    <w:rsid w:val="00513963"/>
    <w:rsid w:val="00513EE3"/>
    <w:rsid w:val="00515A6C"/>
    <w:rsid w:val="005173A6"/>
    <w:rsid w:val="00520BAA"/>
    <w:rsid w:val="00525208"/>
    <w:rsid w:val="005257A5"/>
    <w:rsid w:val="005264C0"/>
    <w:rsid w:val="00526A8A"/>
    <w:rsid w:val="005270D4"/>
    <w:rsid w:val="00531883"/>
    <w:rsid w:val="00531DF2"/>
    <w:rsid w:val="00532516"/>
    <w:rsid w:val="0054193E"/>
    <w:rsid w:val="005434E6"/>
    <w:rsid w:val="005442EE"/>
    <w:rsid w:val="00544D88"/>
    <w:rsid w:val="00547353"/>
    <w:rsid w:val="005474E7"/>
    <w:rsid w:val="005512A3"/>
    <w:rsid w:val="00551BF0"/>
    <w:rsid w:val="005548AB"/>
    <w:rsid w:val="00556D84"/>
    <w:rsid w:val="005578CE"/>
    <w:rsid w:val="00562781"/>
    <w:rsid w:val="00563E83"/>
    <w:rsid w:val="0057061A"/>
    <w:rsid w:val="00570FBA"/>
    <w:rsid w:val="0057271C"/>
    <w:rsid w:val="00572845"/>
    <w:rsid w:val="00573571"/>
    <w:rsid w:val="005820DB"/>
    <w:rsid w:val="0058433F"/>
    <w:rsid w:val="00584969"/>
    <w:rsid w:val="00586F6B"/>
    <w:rsid w:val="00587408"/>
    <w:rsid w:val="00591334"/>
    <w:rsid w:val="00592772"/>
    <w:rsid w:val="00594AF7"/>
    <w:rsid w:val="00594BD7"/>
    <w:rsid w:val="0059574A"/>
    <w:rsid w:val="00595BCC"/>
    <w:rsid w:val="005A0E6E"/>
    <w:rsid w:val="005A1941"/>
    <w:rsid w:val="005A1B9B"/>
    <w:rsid w:val="005A1BE0"/>
    <w:rsid w:val="005A47C5"/>
    <w:rsid w:val="005A606A"/>
    <w:rsid w:val="005A6751"/>
    <w:rsid w:val="005B092E"/>
    <w:rsid w:val="005B152C"/>
    <w:rsid w:val="005B1EE0"/>
    <w:rsid w:val="005B2B24"/>
    <w:rsid w:val="005B4425"/>
    <w:rsid w:val="005B4B94"/>
    <w:rsid w:val="005C3EE8"/>
    <w:rsid w:val="005C4F4C"/>
    <w:rsid w:val="005C7D1D"/>
    <w:rsid w:val="005D2664"/>
    <w:rsid w:val="005D34F9"/>
    <w:rsid w:val="005D4190"/>
    <w:rsid w:val="005D5193"/>
    <w:rsid w:val="005D67A3"/>
    <w:rsid w:val="005D6B44"/>
    <w:rsid w:val="005D7D56"/>
    <w:rsid w:val="005E2988"/>
    <w:rsid w:val="005E2A43"/>
    <w:rsid w:val="005E3085"/>
    <w:rsid w:val="005E438A"/>
    <w:rsid w:val="005E78AA"/>
    <w:rsid w:val="005F21D2"/>
    <w:rsid w:val="005F51E1"/>
    <w:rsid w:val="0060008F"/>
    <w:rsid w:val="006026D6"/>
    <w:rsid w:val="00607753"/>
    <w:rsid w:val="00611C80"/>
    <w:rsid w:val="00612898"/>
    <w:rsid w:val="00612E7F"/>
    <w:rsid w:val="00613B1A"/>
    <w:rsid w:val="00620692"/>
    <w:rsid w:val="0062347D"/>
    <w:rsid w:val="006242CA"/>
    <w:rsid w:val="006244A2"/>
    <w:rsid w:val="0062709B"/>
    <w:rsid w:val="00627507"/>
    <w:rsid w:val="00630A1D"/>
    <w:rsid w:val="00633717"/>
    <w:rsid w:val="006344E1"/>
    <w:rsid w:val="0064077A"/>
    <w:rsid w:val="00641DF8"/>
    <w:rsid w:val="00645C09"/>
    <w:rsid w:val="0065054C"/>
    <w:rsid w:val="006545C4"/>
    <w:rsid w:val="00660E65"/>
    <w:rsid w:val="00661971"/>
    <w:rsid w:val="00661CE8"/>
    <w:rsid w:val="006623D9"/>
    <w:rsid w:val="00663040"/>
    <w:rsid w:val="0066550C"/>
    <w:rsid w:val="00665EBD"/>
    <w:rsid w:val="006716F2"/>
    <w:rsid w:val="00675D89"/>
    <w:rsid w:val="006767A1"/>
    <w:rsid w:val="006767FE"/>
    <w:rsid w:val="00682BF2"/>
    <w:rsid w:val="00685856"/>
    <w:rsid w:val="006859CE"/>
    <w:rsid w:val="0069064B"/>
    <w:rsid w:val="00690DB1"/>
    <w:rsid w:val="00691270"/>
    <w:rsid w:val="006936B8"/>
    <w:rsid w:val="00694BA8"/>
    <w:rsid w:val="006A037C"/>
    <w:rsid w:val="006A36F4"/>
    <w:rsid w:val="006A3AF0"/>
    <w:rsid w:val="006A3F07"/>
    <w:rsid w:val="006A406F"/>
    <w:rsid w:val="006A5D3A"/>
    <w:rsid w:val="006B0635"/>
    <w:rsid w:val="006B1BED"/>
    <w:rsid w:val="006B376F"/>
    <w:rsid w:val="006B6E34"/>
    <w:rsid w:val="006C202D"/>
    <w:rsid w:val="006C23D4"/>
    <w:rsid w:val="006C41CC"/>
    <w:rsid w:val="006C7BB0"/>
    <w:rsid w:val="006C7CA7"/>
    <w:rsid w:val="006D02D2"/>
    <w:rsid w:val="006D1BBE"/>
    <w:rsid w:val="006D30C6"/>
    <w:rsid w:val="006D3237"/>
    <w:rsid w:val="006E11A7"/>
    <w:rsid w:val="006E2E37"/>
    <w:rsid w:val="006E3CF1"/>
    <w:rsid w:val="006E61B4"/>
    <w:rsid w:val="006E7E80"/>
    <w:rsid w:val="006F1DF9"/>
    <w:rsid w:val="006F24DB"/>
    <w:rsid w:val="006F45C8"/>
    <w:rsid w:val="006F48CA"/>
    <w:rsid w:val="006F5F6A"/>
    <w:rsid w:val="006F64DD"/>
    <w:rsid w:val="00703709"/>
    <w:rsid w:val="00710B94"/>
    <w:rsid w:val="00715127"/>
    <w:rsid w:val="00715E8E"/>
    <w:rsid w:val="00723580"/>
    <w:rsid w:val="00723755"/>
    <w:rsid w:val="00726796"/>
    <w:rsid w:val="00730D1B"/>
    <w:rsid w:val="0073136C"/>
    <w:rsid w:val="00731F0F"/>
    <w:rsid w:val="00733250"/>
    <w:rsid w:val="00733C96"/>
    <w:rsid w:val="00734FEB"/>
    <w:rsid w:val="007359A5"/>
    <w:rsid w:val="00741404"/>
    <w:rsid w:val="00742109"/>
    <w:rsid w:val="00742AEA"/>
    <w:rsid w:val="007433EC"/>
    <w:rsid w:val="007449E5"/>
    <w:rsid w:val="00746C5A"/>
    <w:rsid w:val="00746DD3"/>
    <w:rsid w:val="00747DE0"/>
    <w:rsid w:val="00747FF0"/>
    <w:rsid w:val="00750607"/>
    <w:rsid w:val="00751112"/>
    <w:rsid w:val="00755F7A"/>
    <w:rsid w:val="00757BAD"/>
    <w:rsid w:val="00761822"/>
    <w:rsid w:val="00764D4E"/>
    <w:rsid w:val="00765A1F"/>
    <w:rsid w:val="00766675"/>
    <w:rsid w:val="00771F5A"/>
    <w:rsid w:val="00773982"/>
    <w:rsid w:val="00775B6D"/>
    <w:rsid w:val="00776D68"/>
    <w:rsid w:val="007775C5"/>
    <w:rsid w:val="007776C4"/>
    <w:rsid w:val="007779C2"/>
    <w:rsid w:val="007850EE"/>
    <w:rsid w:val="00785B95"/>
    <w:rsid w:val="00786567"/>
    <w:rsid w:val="00790E96"/>
    <w:rsid w:val="007924F8"/>
    <w:rsid w:val="00793366"/>
    <w:rsid w:val="007A47DE"/>
    <w:rsid w:val="007A716F"/>
    <w:rsid w:val="007A753E"/>
    <w:rsid w:val="007B076C"/>
    <w:rsid w:val="007B1E00"/>
    <w:rsid w:val="007B270A"/>
    <w:rsid w:val="007B3809"/>
    <w:rsid w:val="007B4898"/>
    <w:rsid w:val="007B7FAF"/>
    <w:rsid w:val="007C0695"/>
    <w:rsid w:val="007C2C8E"/>
    <w:rsid w:val="007C406D"/>
    <w:rsid w:val="007C419A"/>
    <w:rsid w:val="007C4CC8"/>
    <w:rsid w:val="007C5426"/>
    <w:rsid w:val="007C5798"/>
    <w:rsid w:val="007C7CB8"/>
    <w:rsid w:val="007D3E5E"/>
    <w:rsid w:val="007D4832"/>
    <w:rsid w:val="007E21B2"/>
    <w:rsid w:val="007E2C4E"/>
    <w:rsid w:val="007E3DD0"/>
    <w:rsid w:val="007E4817"/>
    <w:rsid w:val="007F1905"/>
    <w:rsid w:val="007F35A9"/>
    <w:rsid w:val="00801300"/>
    <w:rsid w:val="00802C64"/>
    <w:rsid w:val="008055C1"/>
    <w:rsid w:val="008056FC"/>
    <w:rsid w:val="00805E52"/>
    <w:rsid w:val="008061D0"/>
    <w:rsid w:val="00810143"/>
    <w:rsid w:val="00810B38"/>
    <w:rsid w:val="0081668E"/>
    <w:rsid w:val="0081754D"/>
    <w:rsid w:val="008204C7"/>
    <w:rsid w:val="00820992"/>
    <w:rsid w:val="00823602"/>
    <w:rsid w:val="00824711"/>
    <w:rsid w:val="008255F5"/>
    <w:rsid w:val="00827F32"/>
    <w:rsid w:val="0083014E"/>
    <w:rsid w:val="0083110F"/>
    <w:rsid w:val="0083214A"/>
    <w:rsid w:val="00834220"/>
    <w:rsid w:val="00836189"/>
    <w:rsid w:val="00836271"/>
    <w:rsid w:val="00844562"/>
    <w:rsid w:val="00845350"/>
    <w:rsid w:val="00845723"/>
    <w:rsid w:val="0085085C"/>
    <w:rsid w:val="00851EF9"/>
    <w:rsid w:val="008577FD"/>
    <w:rsid w:val="00860614"/>
    <w:rsid w:val="00860B03"/>
    <w:rsid w:val="00861470"/>
    <w:rsid w:val="00863DCD"/>
    <w:rsid w:val="0086497A"/>
    <w:rsid w:val="008713A1"/>
    <w:rsid w:val="00873C59"/>
    <w:rsid w:val="00875143"/>
    <w:rsid w:val="008754AB"/>
    <w:rsid w:val="0088060C"/>
    <w:rsid w:val="0088163E"/>
    <w:rsid w:val="008823D7"/>
    <w:rsid w:val="00891297"/>
    <w:rsid w:val="00893576"/>
    <w:rsid w:val="00893E73"/>
    <w:rsid w:val="008A43C4"/>
    <w:rsid w:val="008A4D9F"/>
    <w:rsid w:val="008B02DC"/>
    <w:rsid w:val="008B2DBC"/>
    <w:rsid w:val="008B310D"/>
    <w:rsid w:val="008B57CE"/>
    <w:rsid w:val="008B5C0D"/>
    <w:rsid w:val="008B6232"/>
    <w:rsid w:val="008B659F"/>
    <w:rsid w:val="008C0C93"/>
    <w:rsid w:val="008C26DE"/>
    <w:rsid w:val="008D2225"/>
    <w:rsid w:val="008D4752"/>
    <w:rsid w:val="008D552A"/>
    <w:rsid w:val="008E0E47"/>
    <w:rsid w:val="008E271C"/>
    <w:rsid w:val="008E418E"/>
    <w:rsid w:val="008E5BC6"/>
    <w:rsid w:val="008E6A25"/>
    <w:rsid w:val="008E7330"/>
    <w:rsid w:val="008F0104"/>
    <w:rsid w:val="008F0ABD"/>
    <w:rsid w:val="008F38A4"/>
    <w:rsid w:val="008F4E00"/>
    <w:rsid w:val="008F5193"/>
    <w:rsid w:val="008F6B7C"/>
    <w:rsid w:val="008F792B"/>
    <w:rsid w:val="009013A7"/>
    <w:rsid w:val="009017FB"/>
    <w:rsid w:val="009017FC"/>
    <w:rsid w:val="00903B43"/>
    <w:rsid w:val="009045ED"/>
    <w:rsid w:val="0090506B"/>
    <w:rsid w:val="009050C9"/>
    <w:rsid w:val="009066FC"/>
    <w:rsid w:val="00914018"/>
    <w:rsid w:val="009140A3"/>
    <w:rsid w:val="009144A2"/>
    <w:rsid w:val="0091510C"/>
    <w:rsid w:val="009179E2"/>
    <w:rsid w:val="00920032"/>
    <w:rsid w:val="009224A8"/>
    <w:rsid w:val="00922DCA"/>
    <w:rsid w:val="009259AC"/>
    <w:rsid w:val="00926F38"/>
    <w:rsid w:val="00932B31"/>
    <w:rsid w:val="00933829"/>
    <w:rsid w:val="00934301"/>
    <w:rsid w:val="00936CD1"/>
    <w:rsid w:val="00941747"/>
    <w:rsid w:val="00941EFB"/>
    <w:rsid w:val="009423D0"/>
    <w:rsid w:val="00945261"/>
    <w:rsid w:val="00945B37"/>
    <w:rsid w:val="00947AFB"/>
    <w:rsid w:val="00951D7D"/>
    <w:rsid w:val="00951EF4"/>
    <w:rsid w:val="00952C12"/>
    <w:rsid w:val="00954938"/>
    <w:rsid w:val="00955C48"/>
    <w:rsid w:val="009607B9"/>
    <w:rsid w:val="00962273"/>
    <w:rsid w:val="009630C7"/>
    <w:rsid w:val="00965F56"/>
    <w:rsid w:val="009663FC"/>
    <w:rsid w:val="00972B55"/>
    <w:rsid w:val="009743B7"/>
    <w:rsid w:val="00976F99"/>
    <w:rsid w:val="0098214A"/>
    <w:rsid w:val="0098228B"/>
    <w:rsid w:val="009828DA"/>
    <w:rsid w:val="00985BAB"/>
    <w:rsid w:val="00993AA0"/>
    <w:rsid w:val="00996548"/>
    <w:rsid w:val="00997F03"/>
    <w:rsid w:val="009A35BC"/>
    <w:rsid w:val="009A46DF"/>
    <w:rsid w:val="009A561F"/>
    <w:rsid w:val="009A5AB9"/>
    <w:rsid w:val="009A7411"/>
    <w:rsid w:val="009A7AD0"/>
    <w:rsid w:val="009B048E"/>
    <w:rsid w:val="009B1B5F"/>
    <w:rsid w:val="009B2EC2"/>
    <w:rsid w:val="009B6673"/>
    <w:rsid w:val="009C0822"/>
    <w:rsid w:val="009C191B"/>
    <w:rsid w:val="009C2073"/>
    <w:rsid w:val="009C2BB5"/>
    <w:rsid w:val="009C2BD6"/>
    <w:rsid w:val="009D064B"/>
    <w:rsid w:val="009D27B9"/>
    <w:rsid w:val="009E1F32"/>
    <w:rsid w:val="009E32CD"/>
    <w:rsid w:val="009E5256"/>
    <w:rsid w:val="009E5829"/>
    <w:rsid w:val="009E5D12"/>
    <w:rsid w:val="009E776C"/>
    <w:rsid w:val="009E7E0F"/>
    <w:rsid w:val="009F33DB"/>
    <w:rsid w:val="009F49F5"/>
    <w:rsid w:val="009F5EF7"/>
    <w:rsid w:val="00A01374"/>
    <w:rsid w:val="00A04E33"/>
    <w:rsid w:val="00A1154E"/>
    <w:rsid w:val="00A149CF"/>
    <w:rsid w:val="00A14EF6"/>
    <w:rsid w:val="00A16FAC"/>
    <w:rsid w:val="00A1726E"/>
    <w:rsid w:val="00A17ED2"/>
    <w:rsid w:val="00A204CF"/>
    <w:rsid w:val="00A2365A"/>
    <w:rsid w:val="00A23D49"/>
    <w:rsid w:val="00A27004"/>
    <w:rsid w:val="00A30C29"/>
    <w:rsid w:val="00A34DD6"/>
    <w:rsid w:val="00A36819"/>
    <w:rsid w:val="00A36989"/>
    <w:rsid w:val="00A43628"/>
    <w:rsid w:val="00A440A3"/>
    <w:rsid w:val="00A54192"/>
    <w:rsid w:val="00A6035E"/>
    <w:rsid w:val="00A60D8A"/>
    <w:rsid w:val="00A6144C"/>
    <w:rsid w:val="00A66617"/>
    <w:rsid w:val="00A671F8"/>
    <w:rsid w:val="00A673A4"/>
    <w:rsid w:val="00A710BC"/>
    <w:rsid w:val="00A724AE"/>
    <w:rsid w:val="00A73329"/>
    <w:rsid w:val="00A82359"/>
    <w:rsid w:val="00A861EB"/>
    <w:rsid w:val="00A865D2"/>
    <w:rsid w:val="00A91206"/>
    <w:rsid w:val="00A94C20"/>
    <w:rsid w:val="00A96ED6"/>
    <w:rsid w:val="00AA227F"/>
    <w:rsid w:val="00AA2A64"/>
    <w:rsid w:val="00AA3BC7"/>
    <w:rsid w:val="00AA754A"/>
    <w:rsid w:val="00AB099E"/>
    <w:rsid w:val="00AB4328"/>
    <w:rsid w:val="00AB4460"/>
    <w:rsid w:val="00AB56FD"/>
    <w:rsid w:val="00AB5FA0"/>
    <w:rsid w:val="00AC2D51"/>
    <w:rsid w:val="00AD0AC2"/>
    <w:rsid w:val="00AD1612"/>
    <w:rsid w:val="00AD5226"/>
    <w:rsid w:val="00AD5F7A"/>
    <w:rsid w:val="00AD7147"/>
    <w:rsid w:val="00AE0A2E"/>
    <w:rsid w:val="00AE11ED"/>
    <w:rsid w:val="00AE13C3"/>
    <w:rsid w:val="00AE354C"/>
    <w:rsid w:val="00AE3E10"/>
    <w:rsid w:val="00AE6489"/>
    <w:rsid w:val="00AF4B07"/>
    <w:rsid w:val="00AF6186"/>
    <w:rsid w:val="00AF7A3A"/>
    <w:rsid w:val="00B04499"/>
    <w:rsid w:val="00B06546"/>
    <w:rsid w:val="00B10774"/>
    <w:rsid w:val="00B110E4"/>
    <w:rsid w:val="00B160DB"/>
    <w:rsid w:val="00B20836"/>
    <w:rsid w:val="00B21B74"/>
    <w:rsid w:val="00B21C14"/>
    <w:rsid w:val="00B235BB"/>
    <w:rsid w:val="00B25951"/>
    <w:rsid w:val="00B27A44"/>
    <w:rsid w:val="00B30BBF"/>
    <w:rsid w:val="00B31508"/>
    <w:rsid w:val="00B33C03"/>
    <w:rsid w:val="00B44E56"/>
    <w:rsid w:val="00B46543"/>
    <w:rsid w:val="00B47D33"/>
    <w:rsid w:val="00B51019"/>
    <w:rsid w:val="00B52BE0"/>
    <w:rsid w:val="00B54133"/>
    <w:rsid w:val="00B55475"/>
    <w:rsid w:val="00B61903"/>
    <w:rsid w:val="00B62728"/>
    <w:rsid w:val="00B62A26"/>
    <w:rsid w:val="00B637B9"/>
    <w:rsid w:val="00B701ED"/>
    <w:rsid w:val="00B71329"/>
    <w:rsid w:val="00B72420"/>
    <w:rsid w:val="00B73418"/>
    <w:rsid w:val="00B74078"/>
    <w:rsid w:val="00B8086C"/>
    <w:rsid w:val="00B808AF"/>
    <w:rsid w:val="00B83435"/>
    <w:rsid w:val="00B83F94"/>
    <w:rsid w:val="00B844EC"/>
    <w:rsid w:val="00B861B4"/>
    <w:rsid w:val="00B86366"/>
    <w:rsid w:val="00B86DFE"/>
    <w:rsid w:val="00B90990"/>
    <w:rsid w:val="00B90BDB"/>
    <w:rsid w:val="00B90EDB"/>
    <w:rsid w:val="00B922FF"/>
    <w:rsid w:val="00B9281E"/>
    <w:rsid w:val="00B92B4C"/>
    <w:rsid w:val="00B93925"/>
    <w:rsid w:val="00B95187"/>
    <w:rsid w:val="00BA2D55"/>
    <w:rsid w:val="00BA6385"/>
    <w:rsid w:val="00BA71B1"/>
    <w:rsid w:val="00BA7381"/>
    <w:rsid w:val="00BB0637"/>
    <w:rsid w:val="00BB21E6"/>
    <w:rsid w:val="00BB345F"/>
    <w:rsid w:val="00BB4BEA"/>
    <w:rsid w:val="00BB5883"/>
    <w:rsid w:val="00BB68EA"/>
    <w:rsid w:val="00BC1C27"/>
    <w:rsid w:val="00BC5528"/>
    <w:rsid w:val="00BC6BBF"/>
    <w:rsid w:val="00BD13D6"/>
    <w:rsid w:val="00BD1572"/>
    <w:rsid w:val="00BD5275"/>
    <w:rsid w:val="00BD569A"/>
    <w:rsid w:val="00BD58DA"/>
    <w:rsid w:val="00BE14E3"/>
    <w:rsid w:val="00BE2D96"/>
    <w:rsid w:val="00BE2F18"/>
    <w:rsid w:val="00BE2F25"/>
    <w:rsid w:val="00BE3774"/>
    <w:rsid w:val="00BE41E5"/>
    <w:rsid w:val="00BE7FD8"/>
    <w:rsid w:val="00BF04DD"/>
    <w:rsid w:val="00BF0BBB"/>
    <w:rsid w:val="00BF0FE5"/>
    <w:rsid w:val="00BF2E23"/>
    <w:rsid w:val="00BF2F22"/>
    <w:rsid w:val="00BF4109"/>
    <w:rsid w:val="00BF4CC3"/>
    <w:rsid w:val="00BF5002"/>
    <w:rsid w:val="00BF56C4"/>
    <w:rsid w:val="00C054C7"/>
    <w:rsid w:val="00C057B5"/>
    <w:rsid w:val="00C07C36"/>
    <w:rsid w:val="00C11265"/>
    <w:rsid w:val="00C14200"/>
    <w:rsid w:val="00C14C64"/>
    <w:rsid w:val="00C16639"/>
    <w:rsid w:val="00C22687"/>
    <w:rsid w:val="00C32E4D"/>
    <w:rsid w:val="00C333A0"/>
    <w:rsid w:val="00C33F77"/>
    <w:rsid w:val="00C36A81"/>
    <w:rsid w:val="00C41974"/>
    <w:rsid w:val="00C429C4"/>
    <w:rsid w:val="00C447AD"/>
    <w:rsid w:val="00C45A62"/>
    <w:rsid w:val="00C511B2"/>
    <w:rsid w:val="00C516B4"/>
    <w:rsid w:val="00C53F4A"/>
    <w:rsid w:val="00C54125"/>
    <w:rsid w:val="00C554D8"/>
    <w:rsid w:val="00C55B54"/>
    <w:rsid w:val="00C5720E"/>
    <w:rsid w:val="00C575F2"/>
    <w:rsid w:val="00C57B60"/>
    <w:rsid w:val="00C6098E"/>
    <w:rsid w:val="00C6152C"/>
    <w:rsid w:val="00C621C2"/>
    <w:rsid w:val="00C65E5B"/>
    <w:rsid w:val="00C7200E"/>
    <w:rsid w:val="00C74810"/>
    <w:rsid w:val="00C75837"/>
    <w:rsid w:val="00C767C8"/>
    <w:rsid w:val="00C84B65"/>
    <w:rsid w:val="00C90D68"/>
    <w:rsid w:val="00C939FE"/>
    <w:rsid w:val="00C93AD4"/>
    <w:rsid w:val="00CA1CB9"/>
    <w:rsid w:val="00CA4BDA"/>
    <w:rsid w:val="00CA4FB9"/>
    <w:rsid w:val="00CB1F66"/>
    <w:rsid w:val="00CB2951"/>
    <w:rsid w:val="00CB36C6"/>
    <w:rsid w:val="00CB5BF9"/>
    <w:rsid w:val="00CB7CC6"/>
    <w:rsid w:val="00CC2767"/>
    <w:rsid w:val="00CC68DD"/>
    <w:rsid w:val="00CD282B"/>
    <w:rsid w:val="00CD2E22"/>
    <w:rsid w:val="00CD4C35"/>
    <w:rsid w:val="00CD7369"/>
    <w:rsid w:val="00CD747E"/>
    <w:rsid w:val="00CE0B0E"/>
    <w:rsid w:val="00CE1E27"/>
    <w:rsid w:val="00CE25D0"/>
    <w:rsid w:val="00CE3831"/>
    <w:rsid w:val="00CE5115"/>
    <w:rsid w:val="00CE77A0"/>
    <w:rsid w:val="00CF53FE"/>
    <w:rsid w:val="00CF700B"/>
    <w:rsid w:val="00D00ABB"/>
    <w:rsid w:val="00D02EEC"/>
    <w:rsid w:val="00D03551"/>
    <w:rsid w:val="00D06A63"/>
    <w:rsid w:val="00D07E0E"/>
    <w:rsid w:val="00D11478"/>
    <w:rsid w:val="00D14D69"/>
    <w:rsid w:val="00D1572A"/>
    <w:rsid w:val="00D15ED0"/>
    <w:rsid w:val="00D21B3E"/>
    <w:rsid w:val="00D21FED"/>
    <w:rsid w:val="00D24251"/>
    <w:rsid w:val="00D243BC"/>
    <w:rsid w:val="00D24F3F"/>
    <w:rsid w:val="00D27F78"/>
    <w:rsid w:val="00D32E3D"/>
    <w:rsid w:val="00D343E2"/>
    <w:rsid w:val="00D3554E"/>
    <w:rsid w:val="00D361A2"/>
    <w:rsid w:val="00D42552"/>
    <w:rsid w:val="00D43B5E"/>
    <w:rsid w:val="00D44120"/>
    <w:rsid w:val="00D44C2E"/>
    <w:rsid w:val="00D45414"/>
    <w:rsid w:val="00D517E3"/>
    <w:rsid w:val="00D53C0F"/>
    <w:rsid w:val="00D566BD"/>
    <w:rsid w:val="00D56EA8"/>
    <w:rsid w:val="00D57A4D"/>
    <w:rsid w:val="00D60AA7"/>
    <w:rsid w:val="00D60D87"/>
    <w:rsid w:val="00D62B01"/>
    <w:rsid w:val="00D62E4F"/>
    <w:rsid w:val="00D635A4"/>
    <w:rsid w:val="00D6435F"/>
    <w:rsid w:val="00D65BA8"/>
    <w:rsid w:val="00D7261E"/>
    <w:rsid w:val="00D74520"/>
    <w:rsid w:val="00D7492E"/>
    <w:rsid w:val="00D75E28"/>
    <w:rsid w:val="00D76F2B"/>
    <w:rsid w:val="00D772C2"/>
    <w:rsid w:val="00D8008E"/>
    <w:rsid w:val="00D80F29"/>
    <w:rsid w:val="00D82C45"/>
    <w:rsid w:val="00D835EA"/>
    <w:rsid w:val="00D85432"/>
    <w:rsid w:val="00D8543A"/>
    <w:rsid w:val="00D908A8"/>
    <w:rsid w:val="00D95181"/>
    <w:rsid w:val="00D977B6"/>
    <w:rsid w:val="00DA0144"/>
    <w:rsid w:val="00DA0F4A"/>
    <w:rsid w:val="00DA4A31"/>
    <w:rsid w:val="00DA61F2"/>
    <w:rsid w:val="00DA7B04"/>
    <w:rsid w:val="00DB1C0B"/>
    <w:rsid w:val="00DB33E5"/>
    <w:rsid w:val="00DB36C2"/>
    <w:rsid w:val="00DB38AE"/>
    <w:rsid w:val="00DB70C6"/>
    <w:rsid w:val="00DB7196"/>
    <w:rsid w:val="00DC169B"/>
    <w:rsid w:val="00DC2AB9"/>
    <w:rsid w:val="00DC3351"/>
    <w:rsid w:val="00DC4C6A"/>
    <w:rsid w:val="00DC608A"/>
    <w:rsid w:val="00DC63F0"/>
    <w:rsid w:val="00DD04FD"/>
    <w:rsid w:val="00DD09B7"/>
    <w:rsid w:val="00DD0DA4"/>
    <w:rsid w:val="00DD6EE5"/>
    <w:rsid w:val="00DE1B8E"/>
    <w:rsid w:val="00DE386C"/>
    <w:rsid w:val="00DE3CD4"/>
    <w:rsid w:val="00DE4D35"/>
    <w:rsid w:val="00DE696D"/>
    <w:rsid w:val="00DF0549"/>
    <w:rsid w:val="00DF098B"/>
    <w:rsid w:val="00DF11C4"/>
    <w:rsid w:val="00DF210C"/>
    <w:rsid w:val="00DF4B6A"/>
    <w:rsid w:val="00DF4F9A"/>
    <w:rsid w:val="00DF5286"/>
    <w:rsid w:val="00DF6B2C"/>
    <w:rsid w:val="00DF6DAB"/>
    <w:rsid w:val="00E02C09"/>
    <w:rsid w:val="00E038E1"/>
    <w:rsid w:val="00E04297"/>
    <w:rsid w:val="00E04D04"/>
    <w:rsid w:val="00E04D59"/>
    <w:rsid w:val="00E062F8"/>
    <w:rsid w:val="00E07DA1"/>
    <w:rsid w:val="00E123CB"/>
    <w:rsid w:val="00E14A88"/>
    <w:rsid w:val="00E1557C"/>
    <w:rsid w:val="00E174DB"/>
    <w:rsid w:val="00E2029B"/>
    <w:rsid w:val="00E20E13"/>
    <w:rsid w:val="00E21DBC"/>
    <w:rsid w:val="00E22979"/>
    <w:rsid w:val="00E26F4B"/>
    <w:rsid w:val="00E275D7"/>
    <w:rsid w:val="00E27DBE"/>
    <w:rsid w:val="00E30C77"/>
    <w:rsid w:val="00E30F9C"/>
    <w:rsid w:val="00E31EB3"/>
    <w:rsid w:val="00E32AB1"/>
    <w:rsid w:val="00E36C71"/>
    <w:rsid w:val="00E40404"/>
    <w:rsid w:val="00E40C31"/>
    <w:rsid w:val="00E4183C"/>
    <w:rsid w:val="00E4560B"/>
    <w:rsid w:val="00E459C6"/>
    <w:rsid w:val="00E47589"/>
    <w:rsid w:val="00E61A49"/>
    <w:rsid w:val="00E64915"/>
    <w:rsid w:val="00E661D4"/>
    <w:rsid w:val="00E70091"/>
    <w:rsid w:val="00E720F5"/>
    <w:rsid w:val="00E74C6A"/>
    <w:rsid w:val="00E76C5D"/>
    <w:rsid w:val="00E76D47"/>
    <w:rsid w:val="00E770CC"/>
    <w:rsid w:val="00E8083E"/>
    <w:rsid w:val="00E80E8A"/>
    <w:rsid w:val="00E826B6"/>
    <w:rsid w:val="00E849F7"/>
    <w:rsid w:val="00E90302"/>
    <w:rsid w:val="00E9597F"/>
    <w:rsid w:val="00E97396"/>
    <w:rsid w:val="00EA1207"/>
    <w:rsid w:val="00EA1295"/>
    <w:rsid w:val="00EA185E"/>
    <w:rsid w:val="00EA567A"/>
    <w:rsid w:val="00EA592A"/>
    <w:rsid w:val="00EA7713"/>
    <w:rsid w:val="00EB14E4"/>
    <w:rsid w:val="00EB32A5"/>
    <w:rsid w:val="00EB34ED"/>
    <w:rsid w:val="00EB7BE0"/>
    <w:rsid w:val="00EC2C1F"/>
    <w:rsid w:val="00EC315E"/>
    <w:rsid w:val="00EC428B"/>
    <w:rsid w:val="00ED077C"/>
    <w:rsid w:val="00ED1190"/>
    <w:rsid w:val="00ED194A"/>
    <w:rsid w:val="00ED47D8"/>
    <w:rsid w:val="00ED6544"/>
    <w:rsid w:val="00EE0277"/>
    <w:rsid w:val="00EE1DA9"/>
    <w:rsid w:val="00EE3E00"/>
    <w:rsid w:val="00EE4A76"/>
    <w:rsid w:val="00EE5CA0"/>
    <w:rsid w:val="00EE5DD2"/>
    <w:rsid w:val="00EF0E24"/>
    <w:rsid w:val="00EF13F0"/>
    <w:rsid w:val="00EF2926"/>
    <w:rsid w:val="00EF41F1"/>
    <w:rsid w:val="00EF4F08"/>
    <w:rsid w:val="00EF650E"/>
    <w:rsid w:val="00F008CB"/>
    <w:rsid w:val="00F00A79"/>
    <w:rsid w:val="00F00E86"/>
    <w:rsid w:val="00F00F8B"/>
    <w:rsid w:val="00F0127D"/>
    <w:rsid w:val="00F02E93"/>
    <w:rsid w:val="00F07C1E"/>
    <w:rsid w:val="00F105DB"/>
    <w:rsid w:val="00F111D1"/>
    <w:rsid w:val="00F132BC"/>
    <w:rsid w:val="00F13D80"/>
    <w:rsid w:val="00F16AAA"/>
    <w:rsid w:val="00F21161"/>
    <w:rsid w:val="00F218EF"/>
    <w:rsid w:val="00F21BC7"/>
    <w:rsid w:val="00F231C2"/>
    <w:rsid w:val="00F24150"/>
    <w:rsid w:val="00F26227"/>
    <w:rsid w:val="00F266A2"/>
    <w:rsid w:val="00F27BEE"/>
    <w:rsid w:val="00F3010B"/>
    <w:rsid w:val="00F310A4"/>
    <w:rsid w:val="00F314ED"/>
    <w:rsid w:val="00F32269"/>
    <w:rsid w:val="00F33430"/>
    <w:rsid w:val="00F4055F"/>
    <w:rsid w:val="00F40C7B"/>
    <w:rsid w:val="00F433DF"/>
    <w:rsid w:val="00F4457E"/>
    <w:rsid w:val="00F4631C"/>
    <w:rsid w:val="00F503C7"/>
    <w:rsid w:val="00F50462"/>
    <w:rsid w:val="00F526D7"/>
    <w:rsid w:val="00F56A6F"/>
    <w:rsid w:val="00F5709C"/>
    <w:rsid w:val="00F6111F"/>
    <w:rsid w:val="00F62A8A"/>
    <w:rsid w:val="00F6308C"/>
    <w:rsid w:val="00F64EF1"/>
    <w:rsid w:val="00F67CC0"/>
    <w:rsid w:val="00F72936"/>
    <w:rsid w:val="00F83481"/>
    <w:rsid w:val="00F83FB0"/>
    <w:rsid w:val="00F84769"/>
    <w:rsid w:val="00F848FF"/>
    <w:rsid w:val="00F8765F"/>
    <w:rsid w:val="00F90767"/>
    <w:rsid w:val="00F90B62"/>
    <w:rsid w:val="00F9130C"/>
    <w:rsid w:val="00F937F2"/>
    <w:rsid w:val="00F94441"/>
    <w:rsid w:val="00F96604"/>
    <w:rsid w:val="00FA04FC"/>
    <w:rsid w:val="00FA17D7"/>
    <w:rsid w:val="00FA685B"/>
    <w:rsid w:val="00FA791F"/>
    <w:rsid w:val="00FB0C01"/>
    <w:rsid w:val="00FB789E"/>
    <w:rsid w:val="00FC0FB9"/>
    <w:rsid w:val="00FC18F2"/>
    <w:rsid w:val="00FC24E0"/>
    <w:rsid w:val="00FC39E5"/>
    <w:rsid w:val="00FC3A78"/>
    <w:rsid w:val="00FC5022"/>
    <w:rsid w:val="00FC52C6"/>
    <w:rsid w:val="00FC5FFE"/>
    <w:rsid w:val="00FC6209"/>
    <w:rsid w:val="00FD1005"/>
    <w:rsid w:val="00FD3180"/>
    <w:rsid w:val="00FD3673"/>
    <w:rsid w:val="00FD6C75"/>
    <w:rsid w:val="00FE135E"/>
    <w:rsid w:val="00FE13B3"/>
    <w:rsid w:val="00FE71B3"/>
    <w:rsid w:val="00FE7A74"/>
    <w:rsid w:val="00FF10BD"/>
    <w:rsid w:val="00FF2716"/>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060B1"/>
    <w:pPr>
      <w:jc w:val="both"/>
    </w:pPr>
    <w:rPr>
      <w:rFonts w:eastAsiaTheme="minorEastAsia"/>
      <w:sz w:val="24"/>
    </w:rPr>
  </w:style>
  <w:style w:type="paragraph" w:styleId="Heading1">
    <w:name w:val="heading 1"/>
    <w:basedOn w:val="Normal"/>
    <w:next w:val="Normal"/>
    <w:link w:val="Heading1Char"/>
    <w:uiPriority w:val="99"/>
    <w:semiHidden/>
    <w:rsid w:val="005060B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060B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060B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060B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060B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5060B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060B1"/>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5060B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060B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60B1"/>
    <w:rPr>
      <w:rFonts w:ascii="Tahoma" w:hAnsi="Tahoma" w:cs="Tahoma"/>
      <w:sz w:val="16"/>
      <w:szCs w:val="16"/>
    </w:rPr>
  </w:style>
  <w:style w:type="character" w:customStyle="1" w:styleId="BalloonTextChar">
    <w:name w:val="Balloon Text Char"/>
    <w:basedOn w:val="DefaultParagraphFont"/>
    <w:link w:val="BalloonText"/>
    <w:uiPriority w:val="99"/>
    <w:semiHidden/>
    <w:rsid w:val="005060B1"/>
    <w:rPr>
      <w:rFonts w:ascii="Tahoma" w:eastAsiaTheme="minorEastAsia" w:hAnsi="Tahoma" w:cs="Tahoma"/>
      <w:sz w:val="16"/>
      <w:szCs w:val="16"/>
    </w:rPr>
  </w:style>
  <w:style w:type="character" w:styleId="BookTitle">
    <w:name w:val="Book Title"/>
    <w:uiPriority w:val="99"/>
    <w:semiHidden/>
    <w:qFormat/>
    <w:rsid w:val="005060B1"/>
    <w:rPr>
      <w:i/>
      <w:iCs/>
      <w:smallCaps/>
      <w:spacing w:val="5"/>
    </w:rPr>
  </w:style>
  <w:style w:type="paragraph" w:customStyle="1" w:styleId="ECHRHeader">
    <w:name w:val="ECHR_Header"/>
    <w:aliases w:val="Ju_Header"/>
    <w:basedOn w:val="Header"/>
    <w:uiPriority w:val="4"/>
    <w:qFormat/>
    <w:rsid w:val="005060B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5060B1"/>
    <w:pPr>
      <w:jc w:val="left"/>
    </w:pPr>
    <w:rPr>
      <w:sz w:val="8"/>
    </w:rPr>
  </w:style>
  <w:style w:type="character" w:styleId="Strong">
    <w:name w:val="Strong"/>
    <w:uiPriority w:val="99"/>
    <w:semiHidden/>
    <w:qFormat/>
    <w:rsid w:val="005060B1"/>
    <w:rPr>
      <w:b/>
      <w:bCs/>
    </w:rPr>
  </w:style>
  <w:style w:type="paragraph" w:styleId="NoSpacing">
    <w:name w:val="No Spacing"/>
    <w:basedOn w:val="Normal"/>
    <w:link w:val="NoSpacingChar"/>
    <w:semiHidden/>
    <w:qFormat/>
    <w:rsid w:val="005060B1"/>
    <w:rPr>
      <w:sz w:val="22"/>
    </w:rPr>
  </w:style>
  <w:style w:type="character" w:customStyle="1" w:styleId="NoSpacingChar">
    <w:name w:val="No Spacing Char"/>
    <w:basedOn w:val="DefaultParagraphFont"/>
    <w:link w:val="NoSpacing"/>
    <w:semiHidden/>
    <w:rsid w:val="005060B1"/>
    <w:rPr>
      <w:rFonts w:eastAsiaTheme="minorEastAsia"/>
    </w:rPr>
  </w:style>
  <w:style w:type="paragraph" w:customStyle="1" w:styleId="ECHRFooterLine">
    <w:name w:val="ECHR_Footer_Line"/>
    <w:aliases w:val="Footer_Line"/>
    <w:basedOn w:val="Normal"/>
    <w:next w:val="ECHRFooter"/>
    <w:uiPriority w:val="57"/>
    <w:semiHidden/>
    <w:rsid w:val="005060B1"/>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060B1"/>
  </w:style>
  <w:style w:type="paragraph" w:customStyle="1" w:styleId="DecList">
    <w:name w:val="Dec_List"/>
    <w:basedOn w:val="Normal"/>
    <w:uiPriority w:val="9"/>
    <w:semiHidden/>
    <w:qFormat/>
    <w:rsid w:val="005060B1"/>
    <w:pPr>
      <w:spacing w:before="240"/>
      <w:ind w:left="284"/>
    </w:pPr>
  </w:style>
  <w:style w:type="paragraph" w:customStyle="1" w:styleId="DummyStyle">
    <w:name w:val="Dummy_Style"/>
    <w:basedOn w:val="Normal"/>
    <w:semiHidden/>
    <w:qFormat/>
    <w:rsid w:val="005060B1"/>
    <w:rPr>
      <w:color w:val="00B050"/>
    </w:rPr>
  </w:style>
  <w:style w:type="paragraph" w:customStyle="1" w:styleId="ECHRTitleCentre3">
    <w:name w:val="ECHR_Title_Centre_3"/>
    <w:aliases w:val="Ju_H_Article"/>
    <w:basedOn w:val="Normal"/>
    <w:next w:val="ECHRParaQuote"/>
    <w:uiPriority w:val="27"/>
    <w:qFormat/>
    <w:rsid w:val="005060B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5060B1"/>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5060B1"/>
    <w:pPr>
      <w:numPr>
        <w:numId w:val="18"/>
      </w:numPr>
      <w:jc w:val="left"/>
    </w:pPr>
    <w:rPr>
      <w:b/>
    </w:rPr>
  </w:style>
  <w:style w:type="paragraph" w:customStyle="1" w:styleId="JuCourt">
    <w:name w:val="Ju_Court"/>
    <w:basedOn w:val="Normal"/>
    <w:next w:val="Normal"/>
    <w:uiPriority w:val="16"/>
    <w:qFormat/>
    <w:rsid w:val="005060B1"/>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060B1"/>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5060B1"/>
    <w:pPr>
      <w:spacing w:after="240"/>
      <w:jc w:val="center"/>
      <w:outlineLvl w:val="0"/>
    </w:pPr>
    <w:rPr>
      <w:rFonts w:asciiTheme="majorHAnsi" w:hAnsiTheme="majorHAnsi"/>
    </w:rPr>
  </w:style>
  <w:style w:type="paragraph" w:customStyle="1" w:styleId="JuInitialled">
    <w:name w:val="Ju_Initialled"/>
    <w:basedOn w:val="Normal"/>
    <w:uiPriority w:val="31"/>
    <w:qFormat/>
    <w:rsid w:val="005060B1"/>
    <w:pPr>
      <w:tabs>
        <w:tab w:val="center" w:pos="6407"/>
      </w:tabs>
      <w:spacing w:before="720"/>
      <w:jc w:val="right"/>
    </w:pPr>
  </w:style>
  <w:style w:type="paragraph" w:styleId="Title">
    <w:name w:val="Title"/>
    <w:basedOn w:val="Normal"/>
    <w:next w:val="Normal"/>
    <w:link w:val="TitleChar"/>
    <w:uiPriority w:val="99"/>
    <w:semiHidden/>
    <w:qFormat/>
    <w:rsid w:val="005060B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060B1"/>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link w:val="JuH1Char"/>
    <w:uiPriority w:val="21"/>
    <w:qFormat/>
    <w:rsid w:val="005060B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5060B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060B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5060B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5060B1"/>
    <w:pPr>
      <w:keepNext/>
      <w:keepLines/>
      <w:spacing w:before="240" w:after="120"/>
      <w:ind w:left="1236"/>
    </w:pPr>
    <w:rPr>
      <w:sz w:val="20"/>
    </w:rPr>
  </w:style>
  <w:style w:type="character" w:customStyle="1" w:styleId="JuITMark">
    <w:name w:val="Ju_ITMark"/>
    <w:basedOn w:val="DefaultParagraphFont"/>
    <w:uiPriority w:val="38"/>
    <w:qFormat/>
    <w:rsid w:val="005060B1"/>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5060B1"/>
    <w:rPr>
      <w:caps w:val="0"/>
      <w:smallCaps/>
    </w:rPr>
  </w:style>
  <w:style w:type="paragraph" w:customStyle="1" w:styleId="JuParaSub">
    <w:name w:val="Ju_Para_Sub"/>
    <w:basedOn w:val="ECHRPara"/>
    <w:uiPriority w:val="13"/>
    <w:qFormat/>
    <w:rsid w:val="005060B1"/>
    <w:pPr>
      <w:ind w:left="284"/>
    </w:pPr>
  </w:style>
  <w:style w:type="paragraph" w:styleId="Header">
    <w:name w:val="header"/>
    <w:basedOn w:val="Normal"/>
    <w:link w:val="HeaderChar"/>
    <w:uiPriority w:val="57"/>
    <w:semiHidden/>
    <w:rsid w:val="005060B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060B1"/>
    <w:rPr>
      <w:sz w:val="24"/>
    </w:rPr>
  </w:style>
  <w:style w:type="character" w:customStyle="1" w:styleId="Heading1Char">
    <w:name w:val="Heading 1 Char"/>
    <w:basedOn w:val="DefaultParagraphFont"/>
    <w:link w:val="Heading1"/>
    <w:uiPriority w:val="99"/>
    <w:semiHidden/>
    <w:rsid w:val="005060B1"/>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5060B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5060B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5060B1"/>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5060B1"/>
    <w:pPr>
      <w:ind w:left="567"/>
    </w:pPr>
  </w:style>
  <w:style w:type="paragraph" w:customStyle="1" w:styleId="JuCase">
    <w:name w:val="Ju_Case"/>
    <w:basedOn w:val="Normal"/>
    <w:next w:val="ECHRPara"/>
    <w:uiPriority w:val="10"/>
    <w:rsid w:val="005060B1"/>
    <w:pPr>
      <w:ind w:firstLine="284"/>
    </w:pPr>
    <w:rPr>
      <w:b/>
    </w:rPr>
  </w:style>
  <w:style w:type="character" w:customStyle="1" w:styleId="Heading3Char">
    <w:name w:val="Heading 3 Char"/>
    <w:basedOn w:val="DefaultParagraphFont"/>
    <w:link w:val="Heading3"/>
    <w:uiPriority w:val="99"/>
    <w:semiHidden/>
    <w:rsid w:val="005060B1"/>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5060B1"/>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5060B1"/>
    <w:rPr>
      <w:rFonts w:asciiTheme="majorHAnsi" w:eastAsiaTheme="majorEastAsia" w:hAnsiTheme="majorHAnsi" w:cstheme="majorBidi"/>
      <w:b/>
      <w:bCs/>
      <w:color w:val="808080"/>
    </w:rPr>
  </w:style>
  <w:style w:type="character" w:styleId="SubtleEmphasis">
    <w:name w:val="Subtle Emphasis"/>
    <w:uiPriority w:val="99"/>
    <w:semiHidden/>
    <w:qFormat/>
    <w:rsid w:val="005060B1"/>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5060B1"/>
    <w:pPr>
      <w:keepNext/>
      <w:keepLines/>
      <w:spacing w:before="720" w:after="240"/>
      <w:outlineLvl w:val="0"/>
    </w:pPr>
    <w:rPr>
      <w:rFonts w:asciiTheme="majorHAnsi" w:hAnsiTheme="majorHAnsi"/>
      <w:sz w:val="28"/>
    </w:rPr>
  </w:style>
  <w:style w:type="character" w:styleId="Emphasis">
    <w:name w:val="Emphasis"/>
    <w:uiPriority w:val="99"/>
    <w:semiHidden/>
    <w:qFormat/>
    <w:rsid w:val="005060B1"/>
    <w:rPr>
      <w:b/>
      <w:bCs/>
      <w:i/>
      <w:iCs/>
      <w:spacing w:val="10"/>
      <w:bdr w:val="none" w:sz="0" w:space="0" w:color="auto"/>
      <w:shd w:val="clear" w:color="auto" w:fill="auto"/>
    </w:rPr>
  </w:style>
  <w:style w:type="paragraph" w:styleId="Footer">
    <w:name w:val="footer"/>
    <w:basedOn w:val="Normal"/>
    <w:link w:val="FooterChar"/>
    <w:uiPriority w:val="57"/>
    <w:semiHidden/>
    <w:rsid w:val="005060B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060B1"/>
    <w:rPr>
      <w:sz w:val="24"/>
    </w:rPr>
  </w:style>
  <w:style w:type="character" w:styleId="FootnoteReference">
    <w:name w:val="footnote reference"/>
    <w:basedOn w:val="DefaultParagraphFont"/>
    <w:uiPriority w:val="99"/>
    <w:semiHidden/>
    <w:rsid w:val="005060B1"/>
    <w:rPr>
      <w:vertAlign w:val="superscript"/>
    </w:rPr>
  </w:style>
  <w:style w:type="paragraph" w:styleId="FootnoteText">
    <w:name w:val="footnote text"/>
    <w:basedOn w:val="Normal"/>
    <w:link w:val="FootnoteTextChar"/>
    <w:uiPriority w:val="99"/>
    <w:semiHidden/>
    <w:rsid w:val="005060B1"/>
    <w:rPr>
      <w:sz w:val="20"/>
      <w:szCs w:val="20"/>
    </w:rPr>
  </w:style>
  <w:style w:type="character" w:customStyle="1" w:styleId="FootnoteTextChar">
    <w:name w:val="Footnote Text Char"/>
    <w:basedOn w:val="DefaultParagraphFont"/>
    <w:link w:val="FootnoteText"/>
    <w:uiPriority w:val="99"/>
    <w:semiHidden/>
    <w:rsid w:val="005060B1"/>
    <w:rPr>
      <w:rFonts w:eastAsiaTheme="minorEastAsia"/>
      <w:sz w:val="20"/>
      <w:szCs w:val="20"/>
    </w:rPr>
  </w:style>
  <w:style w:type="character" w:customStyle="1" w:styleId="Heading6Char">
    <w:name w:val="Heading 6 Char"/>
    <w:basedOn w:val="DefaultParagraphFont"/>
    <w:link w:val="Heading6"/>
    <w:uiPriority w:val="99"/>
    <w:semiHidden/>
    <w:rsid w:val="005060B1"/>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5060B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5060B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060B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060B1"/>
    <w:rPr>
      <w:color w:val="0072BC" w:themeColor="hyperlink"/>
      <w:u w:val="single"/>
    </w:rPr>
  </w:style>
  <w:style w:type="character" w:styleId="IntenseEmphasis">
    <w:name w:val="Intense Emphasis"/>
    <w:uiPriority w:val="99"/>
    <w:semiHidden/>
    <w:qFormat/>
    <w:rsid w:val="005060B1"/>
    <w:rPr>
      <w:b/>
      <w:bCs/>
    </w:rPr>
  </w:style>
  <w:style w:type="paragraph" w:styleId="IntenseQuote">
    <w:name w:val="Intense Quote"/>
    <w:basedOn w:val="Normal"/>
    <w:next w:val="Normal"/>
    <w:link w:val="IntenseQuoteChar"/>
    <w:uiPriority w:val="99"/>
    <w:semiHidden/>
    <w:qFormat/>
    <w:rsid w:val="005060B1"/>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5060B1"/>
    <w:rPr>
      <w:rFonts w:eastAsiaTheme="minorEastAsia"/>
      <w:b/>
      <w:bCs/>
      <w:i/>
      <w:iCs/>
      <w:lang w:bidi="en-US"/>
    </w:rPr>
  </w:style>
  <w:style w:type="character" w:styleId="IntenseReference">
    <w:name w:val="Intense Reference"/>
    <w:uiPriority w:val="99"/>
    <w:semiHidden/>
    <w:qFormat/>
    <w:rsid w:val="005060B1"/>
    <w:rPr>
      <w:smallCaps/>
      <w:spacing w:val="5"/>
      <w:u w:val="single"/>
    </w:rPr>
  </w:style>
  <w:style w:type="paragraph" w:styleId="ListParagraph">
    <w:name w:val="List Paragraph"/>
    <w:basedOn w:val="Normal"/>
    <w:uiPriority w:val="99"/>
    <w:semiHidden/>
    <w:qFormat/>
    <w:rsid w:val="005060B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060B1"/>
    <w:pPr>
      <w:spacing w:before="200"/>
      <w:ind w:left="360" w:right="360"/>
    </w:pPr>
    <w:rPr>
      <w:i/>
      <w:iCs/>
      <w:sz w:val="22"/>
      <w:lang w:bidi="en-US"/>
    </w:rPr>
  </w:style>
  <w:style w:type="character" w:customStyle="1" w:styleId="QuoteChar">
    <w:name w:val="Quote Char"/>
    <w:basedOn w:val="DefaultParagraphFont"/>
    <w:link w:val="Quote"/>
    <w:uiPriority w:val="99"/>
    <w:semiHidden/>
    <w:rsid w:val="005060B1"/>
    <w:rPr>
      <w:rFonts w:eastAsiaTheme="minorEastAsia"/>
      <w:i/>
      <w:iCs/>
      <w:lang w:bidi="en-US"/>
    </w:rPr>
  </w:style>
  <w:style w:type="character" w:styleId="SubtleReference">
    <w:name w:val="Subtle Reference"/>
    <w:uiPriority w:val="99"/>
    <w:semiHidden/>
    <w:qFormat/>
    <w:rsid w:val="005060B1"/>
    <w:rPr>
      <w:smallCaps/>
    </w:rPr>
  </w:style>
  <w:style w:type="table" w:styleId="TableGrid">
    <w:name w:val="Table Grid"/>
    <w:basedOn w:val="TableNormal"/>
    <w:uiPriority w:val="59"/>
    <w:semiHidden/>
    <w:rsid w:val="005060B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060B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060B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060B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060B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060B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060B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060B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5060B1"/>
    <w:pPr>
      <w:spacing w:before="120" w:after="120"/>
      <w:ind w:left="425" w:firstLine="142"/>
    </w:pPr>
    <w:rPr>
      <w:sz w:val="20"/>
    </w:rPr>
  </w:style>
  <w:style w:type="paragraph" w:customStyle="1" w:styleId="ECHRPara">
    <w:name w:val="ECHR_Para"/>
    <w:aliases w:val="Ju_Para"/>
    <w:basedOn w:val="Normal"/>
    <w:link w:val="ECHRParaChar"/>
    <w:uiPriority w:val="12"/>
    <w:qFormat/>
    <w:rsid w:val="005060B1"/>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060B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5060B1"/>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5060B1"/>
    <w:pPr>
      <w:ind w:left="340" w:hanging="340"/>
    </w:pPr>
  </w:style>
  <w:style w:type="paragraph" w:customStyle="1" w:styleId="JuSigned">
    <w:name w:val="Ju_Signed"/>
    <w:basedOn w:val="Normal"/>
    <w:next w:val="JuParaLast"/>
    <w:uiPriority w:val="32"/>
    <w:qFormat/>
    <w:rsid w:val="005060B1"/>
    <w:pPr>
      <w:tabs>
        <w:tab w:val="center" w:pos="851"/>
        <w:tab w:val="center" w:pos="6407"/>
      </w:tabs>
      <w:spacing w:before="720"/>
      <w:jc w:val="left"/>
    </w:pPr>
  </w:style>
  <w:style w:type="paragraph" w:customStyle="1" w:styleId="JuParaLast">
    <w:name w:val="Ju_Para_Last"/>
    <w:basedOn w:val="Normal"/>
    <w:next w:val="ECHRPara"/>
    <w:uiPriority w:val="30"/>
    <w:qFormat/>
    <w:rsid w:val="005060B1"/>
    <w:pPr>
      <w:keepNext/>
      <w:keepLines/>
      <w:spacing w:before="240"/>
      <w:ind w:firstLine="284"/>
    </w:pPr>
  </w:style>
  <w:style w:type="paragraph" w:customStyle="1" w:styleId="JuTitle">
    <w:name w:val="Ju_Title"/>
    <w:basedOn w:val="Normal"/>
    <w:next w:val="ECHRPara"/>
    <w:uiPriority w:val="3"/>
    <w:semiHidden/>
    <w:qFormat/>
    <w:rsid w:val="005060B1"/>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5060B1"/>
    <w:pPr>
      <w:ind w:left="346" w:firstLine="0"/>
    </w:pPr>
  </w:style>
  <w:style w:type="paragraph" w:customStyle="1" w:styleId="JuListi">
    <w:name w:val="Ju_List_i"/>
    <w:basedOn w:val="Normal"/>
    <w:next w:val="JuLista"/>
    <w:uiPriority w:val="28"/>
    <w:qFormat/>
    <w:rsid w:val="005060B1"/>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5060B1"/>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5060B1"/>
    <w:pPr>
      <w:ind w:left="833" w:hanging="357"/>
      <w:outlineLvl w:val="3"/>
    </w:pPr>
    <w:rPr>
      <w:b/>
      <w:i w:val="0"/>
      <w:sz w:val="20"/>
    </w:rPr>
  </w:style>
  <w:style w:type="paragraph" w:styleId="Subtitle">
    <w:name w:val="Subtitle"/>
    <w:basedOn w:val="Normal"/>
    <w:next w:val="Normal"/>
    <w:link w:val="SubtitleChar"/>
    <w:uiPriority w:val="99"/>
    <w:semiHidden/>
    <w:qFormat/>
    <w:rsid w:val="005060B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060B1"/>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5060B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060B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060B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5060B1"/>
    <w:pPr>
      <w:tabs>
        <w:tab w:val="clear" w:pos="357"/>
      </w:tabs>
      <w:outlineLvl w:val="1"/>
    </w:pPr>
    <w:rPr>
      <w:b/>
    </w:rPr>
  </w:style>
  <w:style w:type="paragraph" w:customStyle="1" w:styleId="OpiHi">
    <w:name w:val="Opi_H_i"/>
    <w:basedOn w:val="ECHRHeading4"/>
    <w:uiPriority w:val="44"/>
    <w:qFormat/>
    <w:rsid w:val="005060B1"/>
    <w:pPr>
      <w:ind w:left="1037" w:hanging="357"/>
      <w:outlineLvl w:val="4"/>
    </w:pPr>
    <w:rPr>
      <w:b w:val="0"/>
      <w:i/>
    </w:rPr>
  </w:style>
  <w:style w:type="paragraph" w:customStyle="1" w:styleId="OpiPara">
    <w:name w:val="Opi_Para"/>
    <w:basedOn w:val="ECHRPara"/>
    <w:uiPriority w:val="46"/>
    <w:qFormat/>
    <w:rsid w:val="005060B1"/>
  </w:style>
  <w:style w:type="paragraph" w:customStyle="1" w:styleId="OpiParaSub">
    <w:name w:val="Opi_Para_Sub"/>
    <w:basedOn w:val="JuParaSub"/>
    <w:uiPriority w:val="47"/>
    <w:qFormat/>
    <w:rsid w:val="005060B1"/>
  </w:style>
  <w:style w:type="paragraph" w:customStyle="1" w:styleId="OpiQuot">
    <w:name w:val="Opi_Quot"/>
    <w:basedOn w:val="ECHRParaQuote"/>
    <w:uiPriority w:val="48"/>
    <w:qFormat/>
    <w:rsid w:val="005060B1"/>
  </w:style>
  <w:style w:type="paragraph" w:customStyle="1" w:styleId="OpiQuotSub">
    <w:name w:val="Opi_Quot_Sub"/>
    <w:basedOn w:val="JuQuotSub"/>
    <w:uiPriority w:val="49"/>
    <w:qFormat/>
    <w:rsid w:val="005060B1"/>
  </w:style>
  <w:style w:type="paragraph" w:customStyle="1" w:styleId="OpiTranslation">
    <w:name w:val="Opi_Translation"/>
    <w:basedOn w:val="Normal"/>
    <w:next w:val="OpiPara"/>
    <w:uiPriority w:val="40"/>
    <w:qFormat/>
    <w:rsid w:val="005060B1"/>
    <w:pPr>
      <w:jc w:val="center"/>
      <w:outlineLvl w:val="0"/>
    </w:pPr>
    <w:rPr>
      <w:i/>
    </w:rPr>
  </w:style>
  <w:style w:type="character" w:customStyle="1" w:styleId="ECHRParaChar">
    <w:name w:val="ECHR_Para Char"/>
    <w:aliases w:val="Ju_Para Char"/>
    <w:link w:val="ECHRPara"/>
    <w:uiPriority w:val="12"/>
    <w:rsid w:val="00863DCD"/>
    <w:rPr>
      <w:rFonts w:eastAsiaTheme="minorEastAsia"/>
      <w:sz w:val="24"/>
    </w:rPr>
  </w:style>
  <w:style w:type="character" w:customStyle="1" w:styleId="JuH1Char">
    <w:name w:val="Ju_H_1. Char"/>
    <w:link w:val="ECHRHeading3"/>
    <w:uiPriority w:val="21"/>
    <w:rsid w:val="00863DCD"/>
    <w:rPr>
      <w:rFonts w:asciiTheme="majorHAnsi" w:eastAsiaTheme="majorEastAsia" w:hAnsiTheme="majorHAnsi" w:cstheme="majorBidi"/>
      <w:bCs/>
      <w:i/>
      <w:sz w:val="24"/>
    </w:rPr>
  </w:style>
  <w:style w:type="paragraph" w:styleId="Revision">
    <w:name w:val="Revision"/>
    <w:hidden/>
    <w:uiPriority w:val="99"/>
    <w:semiHidden/>
    <w:rsid w:val="00690DB1"/>
    <w:rPr>
      <w:rFonts w:eastAsiaTheme="minorEastAsia"/>
      <w:sz w:val="24"/>
    </w:rPr>
  </w:style>
  <w:style w:type="paragraph" w:customStyle="1" w:styleId="jupara">
    <w:name w:val="jupara"/>
    <w:basedOn w:val="Normal"/>
    <w:rsid w:val="00282178"/>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282178"/>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4971">
      <w:bodyDiv w:val="1"/>
      <w:marLeft w:val="0"/>
      <w:marRight w:val="0"/>
      <w:marTop w:val="0"/>
      <w:marBottom w:val="0"/>
      <w:divBdr>
        <w:top w:val="none" w:sz="0" w:space="0" w:color="auto"/>
        <w:left w:val="none" w:sz="0" w:space="0" w:color="auto"/>
        <w:bottom w:val="none" w:sz="0" w:space="0" w:color="auto"/>
        <w:right w:val="none" w:sz="0" w:space="0" w:color="auto"/>
      </w:divBdr>
      <w:divsChild>
        <w:div w:id="114177385">
          <w:marLeft w:val="0"/>
          <w:marRight w:val="0"/>
          <w:marTop w:val="0"/>
          <w:marBottom w:val="0"/>
          <w:divBdr>
            <w:top w:val="none" w:sz="0" w:space="0" w:color="auto"/>
            <w:left w:val="none" w:sz="0" w:space="0" w:color="auto"/>
            <w:bottom w:val="none" w:sz="0" w:space="0" w:color="auto"/>
            <w:right w:val="none" w:sz="0" w:space="0" w:color="auto"/>
          </w:divBdr>
          <w:divsChild>
            <w:div w:id="471757078">
              <w:marLeft w:val="0"/>
              <w:marRight w:val="0"/>
              <w:marTop w:val="0"/>
              <w:marBottom w:val="0"/>
              <w:divBdr>
                <w:top w:val="none" w:sz="0" w:space="0" w:color="auto"/>
                <w:left w:val="none" w:sz="0" w:space="0" w:color="auto"/>
                <w:bottom w:val="none" w:sz="0" w:space="0" w:color="auto"/>
                <w:right w:val="none" w:sz="0" w:space="0" w:color="auto"/>
              </w:divBdr>
              <w:divsChild>
                <w:div w:id="1555458450">
                  <w:marLeft w:val="0"/>
                  <w:marRight w:val="0"/>
                  <w:marTop w:val="0"/>
                  <w:marBottom w:val="0"/>
                  <w:divBdr>
                    <w:top w:val="none" w:sz="0" w:space="0" w:color="auto"/>
                    <w:left w:val="none" w:sz="0" w:space="0" w:color="auto"/>
                    <w:bottom w:val="none" w:sz="0" w:space="0" w:color="auto"/>
                    <w:right w:val="none" w:sz="0" w:space="0" w:color="auto"/>
                  </w:divBdr>
                  <w:divsChild>
                    <w:div w:id="924456904">
                      <w:marLeft w:val="0"/>
                      <w:marRight w:val="0"/>
                      <w:marTop w:val="0"/>
                      <w:marBottom w:val="0"/>
                      <w:divBdr>
                        <w:top w:val="none" w:sz="0" w:space="0" w:color="auto"/>
                        <w:left w:val="none" w:sz="0" w:space="0" w:color="auto"/>
                        <w:bottom w:val="none" w:sz="0" w:space="0" w:color="auto"/>
                        <w:right w:val="none" w:sz="0" w:space="0" w:color="auto"/>
                      </w:divBdr>
                      <w:divsChild>
                        <w:div w:id="975182060">
                          <w:marLeft w:val="0"/>
                          <w:marRight w:val="0"/>
                          <w:marTop w:val="0"/>
                          <w:marBottom w:val="0"/>
                          <w:divBdr>
                            <w:top w:val="none" w:sz="0" w:space="0" w:color="auto"/>
                            <w:left w:val="none" w:sz="0" w:space="0" w:color="auto"/>
                            <w:bottom w:val="none" w:sz="0" w:space="0" w:color="auto"/>
                            <w:right w:val="none" w:sz="0" w:space="0" w:color="auto"/>
                          </w:divBdr>
                          <w:divsChild>
                            <w:div w:id="8251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7097">
      <w:bodyDiv w:val="1"/>
      <w:marLeft w:val="0"/>
      <w:marRight w:val="0"/>
      <w:marTop w:val="0"/>
      <w:marBottom w:val="0"/>
      <w:divBdr>
        <w:top w:val="none" w:sz="0" w:space="0" w:color="auto"/>
        <w:left w:val="none" w:sz="0" w:space="0" w:color="auto"/>
        <w:bottom w:val="none" w:sz="0" w:space="0" w:color="auto"/>
        <w:right w:val="none" w:sz="0" w:space="0" w:color="auto"/>
      </w:divBdr>
      <w:divsChild>
        <w:div w:id="1087270563">
          <w:marLeft w:val="0"/>
          <w:marRight w:val="0"/>
          <w:marTop w:val="0"/>
          <w:marBottom w:val="0"/>
          <w:divBdr>
            <w:top w:val="none" w:sz="0" w:space="0" w:color="auto"/>
            <w:left w:val="none" w:sz="0" w:space="0" w:color="auto"/>
            <w:bottom w:val="none" w:sz="0" w:space="0" w:color="auto"/>
            <w:right w:val="none" w:sz="0" w:space="0" w:color="auto"/>
          </w:divBdr>
          <w:divsChild>
            <w:div w:id="1939167994">
              <w:marLeft w:val="0"/>
              <w:marRight w:val="0"/>
              <w:marTop w:val="0"/>
              <w:marBottom w:val="0"/>
              <w:divBdr>
                <w:top w:val="none" w:sz="0" w:space="0" w:color="auto"/>
                <w:left w:val="none" w:sz="0" w:space="0" w:color="auto"/>
                <w:bottom w:val="none" w:sz="0" w:space="0" w:color="auto"/>
                <w:right w:val="none" w:sz="0" w:space="0" w:color="auto"/>
              </w:divBdr>
              <w:divsChild>
                <w:div w:id="1211381226">
                  <w:marLeft w:val="0"/>
                  <w:marRight w:val="0"/>
                  <w:marTop w:val="0"/>
                  <w:marBottom w:val="0"/>
                  <w:divBdr>
                    <w:top w:val="none" w:sz="0" w:space="0" w:color="auto"/>
                    <w:left w:val="none" w:sz="0" w:space="0" w:color="auto"/>
                    <w:bottom w:val="none" w:sz="0" w:space="0" w:color="auto"/>
                    <w:right w:val="none" w:sz="0" w:space="0" w:color="auto"/>
                  </w:divBdr>
                  <w:divsChild>
                    <w:div w:id="777455658">
                      <w:marLeft w:val="0"/>
                      <w:marRight w:val="0"/>
                      <w:marTop w:val="0"/>
                      <w:marBottom w:val="0"/>
                      <w:divBdr>
                        <w:top w:val="none" w:sz="0" w:space="0" w:color="auto"/>
                        <w:left w:val="none" w:sz="0" w:space="0" w:color="auto"/>
                        <w:bottom w:val="none" w:sz="0" w:space="0" w:color="auto"/>
                        <w:right w:val="none" w:sz="0" w:space="0" w:color="auto"/>
                      </w:divBdr>
                      <w:divsChild>
                        <w:div w:id="1588004659">
                          <w:marLeft w:val="0"/>
                          <w:marRight w:val="0"/>
                          <w:marTop w:val="0"/>
                          <w:marBottom w:val="0"/>
                          <w:divBdr>
                            <w:top w:val="none" w:sz="0" w:space="0" w:color="auto"/>
                            <w:left w:val="none" w:sz="0" w:space="0" w:color="auto"/>
                            <w:bottom w:val="none" w:sz="0" w:space="0" w:color="auto"/>
                            <w:right w:val="none" w:sz="0" w:space="0" w:color="auto"/>
                          </w:divBdr>
                        </w:div>
                        <w:div w:id="12742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451995">
      <w:bodyDiv w:val="1"/>
      <w:marLeft w:val="0"/>
      <w:marRight w:val="0"/>
      <w:marTop w:val="0"/>
      <w:marBottom w:val="0"/>
      <w:divBdr>
        <w:top w:val="none" w:sz="0" w:space="0" w:color="auto"/>
        <w:left w:val="none" w:sz="0" w:space="0" w:color="auto"/>
        <w:bottom w:val="none" w:sz="0" w:space="0" w:color="auto"/>
        <w:right w:val="none" w:sz="0" w:space="0" w:color="auto"/>
      </w:divBdr>
      <w:divsChild>
        <w:div w:id="1766877942">
          <w:marLeft w:val="0"/>
          <w:marRight w:val="0"/>
          <w:marTop w:val="0"/>
          <w:marBottom w:val="0"/>
          <w:divBdr>
            <w:top w:val="none" w:sz="0" w:space="0" w:color="auto"/>
            <w:left w:val="none" w:sz="0" w:space="0" w:color="auto"/>
            <w:bottom w:val="none" w:sz="0" w:space="0" w:color="auto"/>
            <w:right w:val="none" w:sz="0" w:space="0" w:color="auto"/>
          </w:divBdr>
          <w:divsChild>
            <w:div w:id="217061490">
              <w:marLeft w:val="0"/>
              <w:marRight w:val="0"/>
              <w:marTop w:val="0"/>
              <w:marBottom w:val="0"/>
              <w:divBdr>
                <w:top w:val="none" w:sz="0" w:space="0" w:color="auto"/>
                <w:left w:val="none" w:sz="0" w:space="0" w:color="auto"/>
                <w:bottom w:val="none" w:sz="0" w:space="0" w:color="auto"/>
                <w:right w:val="none" w:sz="0" w:space="0" w:color="auto"/>
              </w:divBdr>
              <w:divsChild>
                <w:div w:id="868299927">
                  <w:marLeft w:val="0"/>
                  <w:marRight w:val="0"/>
                  <w:marTop w:val="0"/>
                  <w:marBottom w:val="0"/>
                  <w:divBdr>
                    <w:top w:val="none" w:sz="0" w:space="0" w:color="auto"/>
                    <w:left w:val="none" w:sz="0" w:space="0" w:color="auto"/>
                    <w:bottom w:val="none" w:sz="0" w:space="0" w:color="auto"/>
                    <w:right w:val="none" w:sz="0" w:space="0" w:color="auto"/>
                  </w:divBdr>
                  <w:divsChild>
                    <w:div w:id="402486985">
                      <w:marLeft w:val="0"/>
                      <w:marRight w:val="0"/>
                      <w:marTop w:val="0"/>
                      <w:marBottom w:val="0"/>
                      <w:divBdr>
                        <w:top w:val="none" w:sz="0" w:space="0" w:color="auto"/>
                        <w:left w:val="none" w:sz="0" w:space="0" w:color="auto"/>
                        <w:bottom w:val="none" w:sz="0" w:space="0" w:color="auto"/>
                        <w:right w:val="none" w:sz="0" w:space="0" w:color="auto"/>
                      </w:divBdr>
                      <w:divsChild>
                        <w:div w:id="846478149">
                          <w:marLeft w:val="0"/>
                          <w:marRight w:val="0"/>
                          <w:marTop w:val="0"/>
                          <w:marBottom w:val="0"/>
                          <w:divBdr>
                            <w:top w:val="none" w:sz="0" w:space="0" w:color="auto"/>
                            <w:left w:val="none" w:sz="0" w:space="0" w:color="auto"/>
                            <w:bottom w:val="none" w:sz="0" w:space="0" w:color="auto"/>
                            <w:right w:val="none" w:sz="0" w:space="0" w:color="auto"/>
                          </w:divBdr>
                        </w:div>
                        <w:div w:id="18792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25428">
      <w:bodyDiv w:val="1"/>
      <w:marLeft w:val="0"/>
      <w:marRight w:val="0"/>
      <w:marTop w:val="0"/>
      <w:marBottom w:val="0"/>
      <w:divBdr>
        <w:top w:val="none" w:sz="0" w:space="0" w:color="auto"/>
        <w:left w:val="none" w:sz="0" w:space="0" w:color="auto"/>
        <w:bottom w:val="none" w:sz="0" w:space="0" w:color="auto"/>
        <w:right w:val="none" w:sz="0" w:space="0" w:color="auto"/>
      </w:divBdr>
      <w:divsChild>
        <w:div w:id="517276115">
          <w:marLeft w:val="0"/>
          <w:marRight w:val="0"/>
          <w:marTop w:val="0"/>
          <w:marBottom w:val="0"/>
          <w:divBdr>
            <w:top w:val="none" w:sz="0" w:space="0" w:color="auto"/>
            <w:left w:val="none" w:sz="0" w:space="0" w:color="auto"/>
            <w:bottom w:val="none" w:sz="0" w:space="0" w:color="auto"/>
            <w:right w:val="none" w:sz="0" w:space="0" w:color="auto"/>
          </w:divBdr>
          <w:divsChild>
            <w:div w:id="1924364951">
              <w:marLeft w:val="0"/>
              <w:marRight w:val="0"/>
              <w:marTop w:val="0"/>
              <w:marBottom w:val="0"/>
              <w:divBdr>
                <w:top w:val="none" w:sz="0" w:space="0" w:color="auto"/>
                <w:left w:val="none" w:sz="0" w:space="0" w:color="auto"/>
                <w:bottom w:val="none" w:sz="0" w:space="0" w:color="auto"/>
                <w:right w:val="none" w:sz="0" w:space="0" w:color="auto"/>
              </w:divBdr>
              <w:divsChild>
                <w:div w:id="1279680568">
                  <w:marLeft w:val="0"/>
                  <w:marRight w:val="0"/>
                  <w:marTop w:val="0"/>
                  <w:marBottom w:val="0"/>
                  <w:divBdr>
                    <w:top w:val="none" w:sz="0" w:space="0" w:color="auto"/>
                    <w:left w:val="none" w:sz="0" w:space="0" w:color="auto"/>
                    <w:bottom w:val="none" w:sz="0" w:space="0" w:color="auto"/>
                    <w:right w:val="none" w:sz="0" w:space="0" w:color="auto"/>
                  </w:divBdr>
                  <w:divsChild>
                    <w:div w:id="214589539">
                      <w:marLeft w:val="0"/>
                      <w:marRight w:val="0"/>
                      <w:marTop w:val="0"/>
                      <w:marBottom w:val="0"/>
                      <w:divBdr>
                        <w:top w:val="none" w:sz="0" w:space="0" w:color="auto"/>
                        <w:left w:val="none" w:sz="0" w:space="0" w:color="auto"/>
                        <w:bottom w:val="none" w:sz="0" w:space="0" w:color="auto"/>
                        <w:right w:val="none" w:sz="0" w:space="0" w:color="auto"/>
                      </w:divBdr>
                      <w:divsChild>
                        <w:div w:id="2133282575">
                          <w:marLeft w:val="0"/>
                          <w:marRight w:val="0"/>
                          <w:marTop w:val="0"/>
                          <w:marBottom w:val="0"/>
                          <w:divBdr>
                            <w:top w:val="none" w:sz="0" w:space="0" w:color="auto"/>
                            <w:left w:val="none" w:sz="0" w:space="0" w:color="auto"/>
                            <w:bottom w:val="none" w:sz="0" w:space="0" w:color="auto"/>
                            <w:right w:val="none" w:sz="0" w:space="0" w:color="auto"/>
                          </w:divBdr>
                          <w:divsChild>
                            <w:div w:id="8842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56738">
      <w:bodyDiv w:val="1"/>
      <w:marLeft w:val="0"/>
      <w:marRight w:val="0"/>
      <w:marTop w:val="0"/>
      <w:marBottom w:val="0"/>
      <w:divBdr>
        <w:top w:val="none" w:sz="0" w:space="0" w:color="auto"/>
        <w:left w:val="none" w:sz="0" w:space="0" w:color="auto"/>
        <w:bottom w:val="none" w:sz="0" w:space="0" w:color="auto"/>
        <w:right w:val="none" w:sz="0" w:space="0" w:color="auto"/>
      </w:divBdr>
      <w:divsChild>
        <w:div w:id="1481194474">
          <w:marLeft w:val="0"/>
          <w:marRight w:val="0"/>
          <w:marTop w:val="0"/>
          <w:marBottom w:val="0"/>
          <w:divBdr>
            <w:top w:val="none" w:sz="0" w:space="0" w:color="auto"/>
            <w:left w:val="none" w:sz="0" w:space="0" w:color="auto"/>
            <w:bottom w:val="none" w:sz="0" w:space="0" w:color="auto"/>
            <w:right w:val="none" w:sz="0" w:space="0" w:color="auto"/>
          </w:divBdr>
          <w:divsChild>
            <w:div w:id="359362994">
              <w:marLeft w:val="0"/>
              <w:marRight w:val="0"/>
              <w:marTop w:val="0"/>
              <w:marBottom w:val="0"/>
              <w:divBdr>
                <w:top w:val="none" w:sz="0" w:space="0" w:color="auto"/>
                <w:left w:val="none" w:sz="0" w:space="0" w:color="auto"/>
                <w:bottom w:val="none" w:sz="0" w:space="0" w:color="auto"/>
                <w:right w:val="none" w:sz="0" w:space="0" w:color="auto"/>
              </w:divBdr>
              <w:divsChild>
                <w:div w:id="1133597732">
                  <w:marLeft w:val="0"/>
                  <w:marRight w:val="0"/>
                  <w:marTop w:val="0"/>
                  <w:marBottom w:val="0"/>
                  <w:divBdr>
                    <w:top w:val="none" w:sz="0" w:space="0" w:color="auto"/>
                    <w:left w:val="none" w:sz="0" w:space="0" w:color="auto"/>
                    <w:bottom w:val="none" w:sz="0" w:space="0" w:color="auto"/>
                    <w:right w:val="none" w:sz="0" w:space="0" w:color="auto"/>
                  </w:divBdr>
                  <w:divsChild>
                    <w:div w:id="451359983">
                      <w:marLeft w:val="0"/>
                      <w:marRight w:val="0"/>
                      <w:marTop w:val="0"/>
                      <w:marBottom w:val="0"/>
                      <w:divBdr>
                        <w:top w:val="none" w:sz="0" w:space="0" w:color="auto"/>
                        <w:left w:val="none" w:sz="0" w:space="0" w:color="auto"/>
                        <w:bottom w:val="none" w:sz="0" w:space="0" w:color="auto"/>
                        <w:right w:val="none" w:sz="0" w:space="0" w:color="auto"/>
                      </w:divBdr>
                      <w:divsChild>
                        <w:div w:id="2053069601">
                          <w:marLeft w:val="0"/>
                          <w:marRight w:val="0"/>
                          <w:marTop w:val="0"/>
                          <w:marBottom w:val="0"/>
                          <w:divBdr>
                            <w:top w:val="none" w:sz="0" w:space="0" w:color="auto"/>
                            <w:left w:val="none" w:sz="0" w:space="0" w:color="auto"/>
                            <w:bottom w:val="none" w:sz="0" w:space="0" w:color="auto"/>
                            <w:right w:val="none" w:sz="0" w:space="0" w:color="auto"/>
                          </w:divBdr>
                          <w:divsChild>
                            <w:div w:id="15916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97722">
      <w:bodyDiv w:val="1"/>
      <w:marLeft w:val="0"/>
      <w:marRight w:val="0"/>
      <w:marTop w:val="0"/>
      <w:marBottom w:val="0"/>
      <w:divBdr>
        <w:top w:val="none" w:sz="0" w:space="0" w:color="auto"/>
        <w:left w:val="none" w:sz="0" w:space="0" w:color="auto"/>
        <w:bottom w:val="none" w:sz="0" w:space="0" w:color="auto"/>
        <w:right w:val="none" w:sz="0" w:space="0" w:color="auto"/>
      </w:divBdr>
      <w:divsChild>
        <w:div w:id="318389290">
          <w:marLeft w:val="0"/>
          <w:marRight w:val="0"/>
          <w:marTop w:val="0"/>
          <w:marBottom w:val="0"/>
          <w:divBdr>
            <w:top w:val="none" w:sz="0" w:space="0" w:color="auto"/>
            <w:left w:val="none" w:sz="0" w:space="0" w:color="auto"/>
            <w:bottom w:val="none" w:sz="0" w:space="0" w:color="auto"/>
            <w:right w:val="none" w:sz="0" w:space="0" w:color="auto"/>
          </w:divBdr>
          <w:divsChild>
            <w:div w:id="1869681305">
              <w:marLeft w:val="0"/>
              <w:marRight w:val="0"/>
              <w:marTop w:val="0"/>
              <w:marBottom w:val="0"/>
              <w:divBdr>
                <w:top w:val="none" w:sz="0" w:space="0" w:color="auto"/>
                <w:left w:val="none" w:sz="0" w:space="0" w:color="auto"/>
                <w:bottom w:val="none" w:sz="0" w:space="0" w:color="auto"/>
                <w:right w:val="none" w:sz="0" w:space="0" w:color="auto"/>
              </w:divBdr>
              <w:divsChild>
                <w:div w:id="567688372">
                  <w:marLeft w:val="0"/>
                  <w:marRight w:val="0"/>
                  <w:marTop w:val="0"/>
                  <w:marBottom w:val="0"/>
                  <w:divBdr>
                    <w:top w:val="none" w:sz="0" w:space="0" w:color="auto"/>
                    <w:left w:val="none" w:sz="0" w:space="0" w:color="auto"/>
                    <w:bottom w:val="none" w:sz="0" w:space="0" w:color="auto"/>
                    <w:right w:val="none" w:sz="0" w:space="0" w:color="auto"/>
                  </w:divBdr>
                  <w:divsChild>
                    <w:div w:id="1744376077">
                      <w:marLeft w:val="0"/>
                      <w:marRight w:val="0"/>
                      <w:marTop w:val="0"/>
                      <w:marBottom w:val="0"/>
                      <w:divBdr>
                        <w:top w:val="none" w:sz="0" w:space="0" w:color="auto"/>
                        <w:left w:val="none" w:sz="0" w:space="0" w:color="auto"/>
                        <w:bottom w:val="none" w:sz="0" w:space="0" w:color="auto"/>
                        <w:right w:val="none" w:sz="0" w:space="0" w:color="auto"/>
                      </w:divBdr>
                      <w:divsChild>
                        <w:div w:id="247692413">
                          <w:marLeft w:val="0"/>
                          <w:marRight w:val="0"/>
                          <w:marTop w:val="0"/>
                          <w:marBottom w:val="0"/>
                          <w:divBdr>
                            <w:top w:val="none" w:sz="0" w:space="0" w:color="auto"/>
                            <w:left w:val="none" w:sz="0" w:space="0" w:color="auto"/>
                            <w:bottom w:val="none" w:sz="0" w:space="0" w:color="auto"/>
                            <w:right w:val="none" w:sz="0" w:space="0" w:color="auto"/>
                          </w:divBdr>
                          <w:divsChild>
                            <w:div w:id="7439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93327">
      <w:bodyDiv w:val="1"/>
      <w:marLeft w:val="0"/>
      <w:marRight w:val="0"/>
      <w:marTop w:val="0"/>
      <w:marBottom w:val="0"/>
      <w:divBdr>
        <w:top w:val="none" w:sz="0" w:space="0" w:color="auto"/>
        <w:left w:val="none" w:sz="0" w:space="0" w:color="auto"/>
        <w:bottom w:val="none" w:sz="0" w:space="0" w:color="auto"/>
        <w:right w:val="none" w:sz="0" w:space="0" w:color="auto"/>
      </w:divBdr>
      <w:divsChild>
        <w:div w:id="1299410329">
          <w:marLeft w:val="0"/>
          <w:marRight w:val="0"/>
          <w:marTop w:val="0"/>
          <w:marBottom w:val="0"/>
          <w:divBdr>
            <w:top w:val="none" w:sz="0" w:space="0" w:color="auto"/>
            <w:left w:val="none" w:sz="0" w:space="0" w:color="auto"/>
            <w:bottom w:val="none" w:sz="0" w:space="0" w:color="auto"/>
            <w:right w:val="none" w:sz="0" w:space="0" w:color="auto"/>
          </w:divBdr>
          <w:divsChild>
            <w:div w:id="1796018749">
              <w:marLeft w:val="0"/>
              <w:marRight w:val="0"/>
              <w:marTop w:val="0"/>
              <w:marBottom w:val="0"/>
              <w:divBdr>
                <w:top w:val="none" w:sz="0" w:space="0" w:color="auto"/>
                <w:left w:val="none" w:sz="0" w:space="0" w:color="auto"/>
                <w:bottom w:val="none" w:sz="0" w:space="0" w:color="auto"/>
                <w:right w:val="none" w:sz="0" w:space="0" w:color="auto"/>
              </w:divBdr>
              <w:divsChild>
                <w:div w:id="838352549">
                  <w:marLeft w:val="0"/>
                  <w:marRight w:val="0"/>
                  <w:marTop w:val="0"/>
                  <w:marBottom w:val="0"/>
                  <w:divBdr>
                    <w:top w:val="none" w:sz="0" w:space="0" w:color="auto"/>
                    <w:left w:val="none" w:sz="0" w:space="0" w:color="auto"/>
                    <w:bottom w:val="none" w:sz="0" w:space="0" w:color="auto"/>
                    <w:right w:val="none" w:sz="0" w:space="0" w:color="auto"/>
                  </w:divBdr>
                  <w:divsChild>
                    <w:div w:id="1912152508">
                      <w:marLeft w:val="0"/>
                      <w:marRight w:val="0"/>
                      <w:marTop w:val="0"/>
                      <w:marBottom w:val="0"/>
                      <w:divBdr>
                        <w:top w:val="none" w:sz="0" w:space="0" w:color="auto"/>
                        <w:left w:val="none" w:sz="0" w:space="0" w:color="auto"/>
                        <w:bottom w:val="none" w:sz="0" w:space="0" w:color="auto"/>
                        <w:right w:val="none" w:sz="0" w:space="0" w:color="auto"/>
                      </w:divBdr>
                      <w:divsChild>
                        <w:div w:id="250360905">
                          <w:marLeft w:val="0"/>
                          <w:marRight w:val="0"/>
                          <w:marTop w:val="0"/>
                          <w:marBottom w:val="0"/>
                          <w:divBdr>
                            <w:top w:val="none" w:sz="0" w:space="0" w:color="auto"/>
                            <w:left w:val="none" w:sz="0" w:space="0" w:color="auto"/>
                            <w:bottom w:val="none" w:sz="0" w:space="0" w:color="auto"/>
                            <w:right w:val="none" w:sz="0" w:space="0" w:color="auto"/>
                          </w:divBdr>
                          <w:divsChild>
                            <w:div w:id="21039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16829">
      <w:bodyDiv w:val="1"/>
      <w:marLeft w:val="0"/>
      <w:marRight w:val="0"/>
      <w:marTop w:val="0"/>
      <w:marBottom w:val="0"/>
      <w:divBdr>
        <w:top w:val="none" w:sz="0" w:space="0" w:color="auto"/>
        <w:left w:val="none" w:sz="0" w:space="0" w:color="auto"/>
        <w:bottom w:val="none" w:sz="0" w:space="0" w:color="auto"/>
        <w:right w:val="none" w:sz="0" w:space="0" w:color="auto"/>
      </w:divBdr>
      <w:divsChild>
        <w:div w:id="1187716469">
          <w:marLeft w:val="0"/>
          <w:marRight w:val="0"/>
          <w:marTop w:val="0"/>
          <w:marBottom w:val="0"/>
          <w:divBdr>
            <w:top w:val="none" w:sz="0" w:space="0" w:color="auto"/>
            <w:left w:val="none" w:sz="0" w:space="0" w:color="auto"/>
            <w:bottom w:val="none" w:sz="0" w:space="0" w:color="auto"/>
            <w:right w:val="none" w:sz="0" w:space="0" w:color="auto"/>
          </w:divBdr>
          <w:divsChild>
            <w:div w:id="142163480">
              <w:marLeft w:val="0"/>
              <w:marRight w:val="0"/>
              <w:marTop w:val="0"/>
              <w:marBottom w:val="0"/>
              <w:divBdr>
                <w:top w:val="none" w:sz="0" w:space="0" w:color="auto"/>
                <w:left w:val="none" w:sz="0" w:space="0" w:color="auto"/>
                <w:bottom w:val="none" w:sz="0" w:space="0" w:color="auto"/>
                <w:right w:val="none" w:sz="0" w:space="0" w:color="auto"/>
              </w:divBdr>
              <w:divsChild>
                <w:div w:id="2071880134">
                  <w:marLeft w:val="0"/>
                  <w:marRight w:val="0"/>
                  <w:marTop w:val="0"/>
                  <w:marBottom w:val="0"/>
                  <w:divBdr>
                    <w:top w:val="none" w:sz="0" w:space="0" w:color="auto"/>
                    <w:left w:val="none" w:sz="0" w:space="0" w:color="auto"/>
                    <w:bottom w:val="none" w:sz="0" w:space="0" w:color="auto"/>
                    <w:right w:val="none" w:sz="0" w:space="0" w:color="auto"/>
                  </w:divBdr>
                  <w:divsChild>
                    <w:div w:id="1853686457">
                      <w:marLeft w:val="0"/>
                      <w:marRight w:val="0"/>
                      <w:marTop w:val="0"/>
                      <w:marBottom w:val="0"/>
                      <w:divBdr>
                        <w:top w:val="none" w:sz="0" w:space="0" w:color="auto"/>
                        <w:left w:val="none" w:sz="0" w:space="0" w:color="auto"/>
                        <w:bottom w:val="none" w:sz="0" w:space="0" w:color="auto"/>
                        <w:right w:val="none" w:sz="0" w:space="0" w:color="auto"/>
                      </w:divBdr>
                      <w:divsChild>
                        <w:div w:id="1709062017">
                          <w:marLeft w:val="0"/>
                          <w:marRight w:val="0"/>
                          <w:marTop w:val="0"/>
                          <w:marBottom w:val="0"/>
                          <w:divBdr>
                            <w:top w:val="none" w:sz="0" w:space="0" w:color="auto"/>
                            <w:left w:val="none" w:sz="0" w:space="0" w:color="auto"/>
                            <w:bottom w:val="none" w:sz="0" w:space="0" w:color="auto"/>
                            <w:right w:val="none" w:sz="0" w:space="0" w:color="auto"/>
                          </w:divBdr>
                          <w:divsChild>
                            <w:div w:id="1136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48525">
      <w:bodyDiv w:val="1"/>
      <w:marLeft w:val="0"/>
      <w:marRight w:val="0"/>
      <w:marTop w:val="0"/>
      <w:marBottom w:val="0"/>
      <w:divBdr>
        <w:top w:val="none" w:sz="0" w:space="0" w:color="auto"/>
        <w:left w:val="none" w:sz="0" w:space="0" w:color="auto"/>
        <w:bottom w:val="none" w:sz="0" w:space="0" w:color="auto"/>
        <w:right w:val="none" w:sz="0" w:space="0" w:color="auto"/>
      </w:divBdr>
      <w:divsChild>
        <w:div w:id="276834001">
          <w:marLeft w:val="0"/>
          <w:marRight w:val="0"/>
          <w:marTop w:val="0"/>
          <w:marBottom w:val="0"/>
          <w:divBdr>
            <w:top w:val="none" w:sz="0" w:space="0" w:color="auto"/>
            <w:left w:val="none" w:sz="0" w:space="0" w:color="auto"/>
            <w:bottom w:val="none" w:sz="0" w:space="0" w:color="auto"/>
            <w:right w:val="none" w:sz="0" w:space="0" w:color="auto"/>
          </w:divBdr>
          <w:divsChild>
            <w:div w:id="773941903">
              <w:marLeft w:val="0"/>
              <w:marRight w:val="0"/>
              <w:marTop w:val="0"/>
              <w:marBottom w:val="0"/>
              <w:divBdr>
                <w:top w:val="none" w:sz="0" w:space="0" w:color="auto"/>
                <w:left w:val="none" w:sz="0" w:space="0" w:color="auto"/>
                <w:bottom w:val="none" w:sz="0" w:space="0" w:color="auto"/>
                <w:right w:val="none" w:sz="0" w:space="0" w:color="auto"/>
              </w:divBdr>
              <w:divsChild>
                <w:div w:id="1856067571">
                  <w:marLeft w:val="0"/>
                  <w:marRight w:val="0"/>
                  <w:marTop w:val="0"/>
                  <w:marBottom w:val="0"/>
                  <w:divBdr>
                    <w:top w:val="none" w:sz="0" w:space="0" w:color="auto"/>
                    <w:left w:val="none" w:sz="0" w:space="0" w:color="auto"/>
                    <w:bottom w:val="none" w:sz="0" w:space="0" w:color="auto"/>
                    <w:right w:val="none" w:sz="0" w:space="0" w:color="auto"/>
                  </w:divBdr>
                  <w:divsChild>
                    <w:div w:id="278494580">
                      <w:marLeft w:val="0"/>
                      <w:marRight w:val="0"/>
                      <w:marTop w:val="0"/>
                      <w:marBottom w:val="0"/>
                      <w:divBdr>
                        <w:top w:val="none" w:sz="0" w:space="0" w:color="auto"/>
                        <w:left w:val="none" w:sz="0" w:space="0" w:color="auto"/>
                        <w:bottom w:val="none" w:sz="0" w:space="0" w:color="auto"/>
                        <w:right w:val="none" w:sz="0" w:space="0" w:color="auto"/>
                      </w:divBdr>
                      <w:divsChild>
                        <w:div w:id="1095397651">
                          <w:marLeft w:val="0"/>
                          <w:marRight w:val="0"/>
                          <w:marTop w:val="0"/>
                          <w:marBottom w:val="0"/>
                          <w:divBdr>
                            <w:top w:val="none" w:sz="0" w:space="0" w:color="auto"/>
                            <w:left w:val="none" w:sz="0" w:space="0" w:color="auto"/>
                            <w:bottom w:val="none" w:sz="0" w:space="0" w:color="auto"/>
                            <w:right w:val="none" w:sz="0" w:space="0" w:color="auto"/>
                          </w:divBdr>
                          <w:divsChild>
                            <w:div w:id="6155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865813">
      <w:bodyDiv w:val="1"/>
      <w:marLeft w:val="0"/>
      <w:marRight w:val="0"/>
      <w:marTop w:val="0"/>
      <w:marBottom w:val="0"/>
      <w:divBdr>
        <w:top w:val="none" w:sz="0" w:space="0" w:color="auto"/>
        <w:left w:val="none" w:sz="0" w:space="0" w:color="auto"/>
        <w:bottom w:val="none" w:sz="0" w:space="0" w:color="auto"/>
        <w:right w:val="none" w:sz="0" w:space="0" w:color="auto"/>
      </w:divBdr>
      <w:divsChild>
        <w:div w:id="1704864516">
          <w:marLeft w:val="0"/>
          <w:marRight w:val="0"/>
          <w:marTop w:val="0"/>
          <w:marBottom w:val="0"/>
          <w:divBdr>
            <w:top w:val="none" w:sz="0" w:space="0" w:color="auto"/>
            <w:left w:val="none" w:sz="0" w:space="0" w:color="auto"/>
            <w:bottom w:val="none" w:sz="0" w:space="0" w:color="auto"/>
            <w:right w:val="none" w:sz="0" w:space="0" w:color="auto"/>
          </w:divBdr>
          <w:divsChild>
            <w:div w:id="871573506">
              <w:marLeft w:val="0"/>
              <w:marRight w:val="0"/>
              <w:marTop w:val="0"/>
              <w:marBottom w:val="0"/>
              <w:divBdr>
                <w:top w:val="none" w:sz="0" w:space="0" w:color="auto"/>
                <w:left w:val="none" w:sz="0" w:space="0" w:color="auto"/>
                <w:bottom w:val="none" w:sz="0" w:space="0" w:color="auto"/>
                <w:right w:val="none" w:sz="0" w:space="0" w:color="auto"/>
              </w:divBdr>
              <w:divsChild>
                <w:div w:id="1563906465">
                  <w:marLeft w:val="0"/>
                  <w:marRight w:val="0"/>
                  <w:marTop w:val="0"/>
                  <w:marBottom w:val="0"/>
                  <w:divBdr>
                    <w:top w:val="none" w:sz="0" w:space="0" w:color="auto"/>
                    <w:left w:val="none" w:sz="0" w:space="0" w:color="auto"/>
                    <w:bottom w:val="none" w:sz="0" w:space="0" w:color="auto"/>
                    <w:right w:val="none" w:sz="0" w:space="0" w:color="auto"/>
                  </w:divBdr>
                  <w:divsChild>
                    <w:div w:id="1823887451">
                      <w:marLeft w:val="0"/>
                      <w:marRight w:val="0"/>
                      <w:marTop w:val="0"/>
                      <w:marBottom w:val="0"/>
                      <w:divBdr>
                        <w:top w:val="none" w:sz="0" w:space="0" w:color="auto"/>
                        <w:left w:val="none" w:sz="0" w:space="0" w:color="auto"/>
                        <w:bottom w:val="none" w:sz="0" w:space="0" w:color="auto"/>
                        <w:right w:val="none" w:sz="0" w:space="0" w:color="auto"/>
                      </w:divBdr>
                      <w:divsChild>
                        <w:div w:id="1770394518">
                          <w:marLeft w:val="0"/>
                          <w:marRight w:val="0"/>
                          <w:marTop w:val="0"/>
                          <w:marBottom w:val="0"/>
                          <w:divBdr>
                            <w:top w:val="none" w:sz="0" w:space="0" w:color="auto"/>
                            <w:left w:val="none" w:sz="0" w:space="0" w:color="auto"/>
                            <w:bottom w:val="none" w:sz="0" w:space="0" w:color="auto"/>
                            <w:right w:val="none" w:sz="0" w:space="0" w:color="auto"/>
                          </w:divBdr>
                          <w:divsChild>
                            <w:div w:id="1830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12578">
      <w:bodyDiv w:val="1"/>
      <w:marLeft w:val="0"/>
      <w:marRight w:val="0"/>
      <w:marTop w:val="0"/>
      <w:marBottom w:val="0"/>
      <w:divBdr>
        <w:top w:val="none" w:sz="0" w:space="0" w:color="auto"/>
        <w:left w:val="none" w:sz="0" w:space="0" w:color="auto"/>
        <w:bottom w:val="none" w:sz="0" w:space="0" w:color="auto"/>
        <w:right w:val="none" w:sz="0" w:space="0" w:color="auto"/>
      </w:divBdr>
    </w:div>
    <w:div w:id="1171413597">
      <w:bodyDiv w:val="1"/>
      <w:marLeft w:val="0"/>
      <w:marRight w:val="0"/>
      <w:marTop w:val="0"/>
      <w:marBottom w:val="0"/>
      <w:divBdr>
        <w:top w:val="none" w:sz="0" w:space="0" w:color="auto"/>
        <w:left w:val="none" w:sz="0" w:space="0" w:color="auto"/>
        <w:bottom w:val="none" w:sz="0" w:space="0" w:color="auto"/>
        <w:right w:val="none" w:sz="0" w:space="0" w:color="auto"/>
      </w:divBdr>
      <w:divsChild>
        <w:div w:id="75054409">
          <w:marLeft w:val="0"/>
          <w:marRight w:val="0"/>
          <w:marTop w:val="0"/>
          <w:marBottom w:val="0"/>
          <w:divBdr>
            <w:top w:val="none" w:sz="0" w:space="0" w:color="auto"/>
            <w:left w:val="none" w:sz="0" w:space="0" w:color="auto"/>
            <w:bottom w:val="none" w:sz="0" w:space="0" w:color="auto"/>
            <w:right w:val="none" w:sz="0" w:space="0" w:color="auto"/>
          </w:divBdr>
          <w:divsChild>
            <w:div w:id="891817338">
              <w:marLeft w:val="0"/>
              <w:marRight w:val="0"/>
              <w:marTop w:val="0"/>
              <w:marBottom w:val="0"/>
              <w:divBdr>
                <w:top w:val="none" w:sz="0" w:space="0" w:color="auto"/>
                <w:left w:val="none" w:sz="0" w:space="0" w:color="auto"/>
                <w:bottom w:val="none" w:sz="0" w:space="0" w:color="auto"/>
                <w:right w:val="none" w:sz="0" w:space="0" w:color="auto"/>
              </w:divBdr>
              <w:divsChild>
                <w:div w:id="278341439">
                  <w:marLeft w:val="0"/>
                  <w:marRight w:val="0"/>
                  <w:marTop w:val="0"/>
                  <w:marBottom w:val="0"/>
                  <w:divBdr>
                    <w:top w:val="none" w:sz="0" w:space="0" w:color="auto"/>
                    <w:left w:val="none" w:sz="0" w:space="0" w:color="auto"/>
                    <w:bottom w:val="none" w:sz="0" w:space="0" w:color="auto"/>
                    <w:right w:val="none" w:sz="0" w:space="0" w:color="auto"/>
                  </w:divBdr>
                  <w:divsChild>
                    <w:div w:id="33770815">
                      <w:marLeft w:val="0"/>
                      <w:marRight w:val="0"/>
                      <w:marTop w:val="0"/>
                      <w:marBottom w:val="0"/>
                      <w:divBdr>
                        <w:top w:val="none" w:sz="0" w:space="0" w:color="auto"/>
                        <w:left w:val="none" w:sz="0" w:space="0" w:color="auto"/>
                        <w:bottom w:val="none" w:sz="0" w:space="0" w:color="auto"/>
                        <w:right w:val="none" w:sz="0" w:space="0" w:color="auto"/>
                      </w:divBdr>
                      <w:divsChild>
                        <w:div w:id="361712091">
                          <w:marLeft w:val="0"/>
                          <w:marRight w:val="0"/>
                          <w:marTop w:val="0"/>
                          <w:marBottom w:val="0"/>
                          <w:divBdr>
                            <w:top w:val="none" w:sz="0" w:space="0" w:color="auto"/>
                            <w:left w:val="none" w:sz="0" w:space="0" w:color="auto"/>
                            <w:bottom w:val="none" w:sz="0" w:space="0" w:color="auto"/>
                            <w:right w:val="none" w:sz="0" w:space="0" w:color="auto"/>
                          </w:divBdr>
                          <w:divsChild>
                            <w:div w:id="7054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16564">
      <w:bodyDiv w:val="1"/>
      <w:marLeft w:val="0"/>
      <w:marRight w:val="0"/>
      <w:marTop w:val="0"/>
      <w:marBottom w:val="0"/>
      <w:divBdr>
        <w:top w:val="none" w:sz="0" w:space="0" w:color="auto"/>
        <w:left w:val="none" w:sz="0" w:space="0" w:color="auto"/>
        <w:bottom w:val="none" w:sz="0" w:space="0" w:color="auto"/>
        <w:right w:val="none" w:sz="0" w:space="0" w:color="auto"/>
      </w:divBdr>
      <w:divsChild>
        <w:div w:id="1220168534">
          <w:marLeft w:val="0"/>
          <w:marRight w:val="0"/>
          <w:marTop w:val="0"/>
          <w:marBottom w:val="0"/>
          <w:divBdr>
            <w:top w:val="none" w:sz="0" w:space="0" w:color="auto"/>
            <w:left w:val="none" w:sz="0" w:space="0" w:color="auto"/>
            <w:bottom w:val="none" w:sz="0" w:space="0" w:color="auto"/>
            <w:right w:val="none" w:sz="0" w:space="0" w:color="auto"/>
          </w:divBdr>
          <w:divsChild>
            <w:div w:id="280958309">
              <w:marLeft w:val="0"/>
              <w:marRight w:val="0"/>
              <w:marTop w:val="0"/>
              <w:marBottom w:val="0"/>
              <w:divBdr>
                <w:top w:val="none" w:sz="0" w:space="0" w:color="auto"/>
                <w:left w:val="none" w:sz="0" w:space="0" w:color="auto"/>
                <w:bottom w:val="none" w:sz="0" w:space="0" w:color="auto"/>
                <w:right w:val="none" w:sz="0" w:space="0" w:color="auto"/>
              </w:divBdr>
              <w:divsChild>
                <w:div w:id="2137523674">
                  <w:marLeft w:val="0"/>
                  <w:marRight w:val="0"/>
                  <w:marTop w:val="0"/>
                  <w:marBottom w:val="0"/>
                  <w:divBdr>
                    <w:top w:val="none" w:sz="0" w:space="0" w:color="auto"/>
                    <w:left w:val="none" w:sz="0" w:space="0" w:color="auto"/>
                    <w:bottom w:val="none" w:sz="0" w:space="0" w:color="auto"/>
                    <w:right w:val="none" w:sz="0" w:space="0" w:color="auto"/>
                  </w:divBdr>
                  <w:divsChild>
                    <w:div w:id="476848444">
                      <w:marLeft w:val="0"/>
                      <w:marRight w:val="0"/>
                      <w:marTop w:val="0"/>
                      <w:marBottom w:val="0"/>
                      <w:divBdr>
                        <w:top w:val="none" w:sz="0" w:space="0" w:color="auto"/>
                        <w:left w:val="none" w:sz="0" w:space="0" w:color="auto"/>
                        <w:bottom w:val="none" w:sz="0" w:space="0" w:color="auto"/>
                        <w:right w:val="none" w:sz="0" w:space="0" w:color="auto"/>
                      </w:divBdr>
                      <w:divsChild>
                        <w:div w:id="135538448">
                          <w:marLeft w:val="0"/>
                          <w:marRight w:val="0"/>
                          <w:marTop w:val="0"/>
                          <w:marBottom w:val="0"/>
                          <w:divBdr>
                            <w:top w:val="none" w:sz="0" w:space="0" w:color="auto"/>
                            <w:left w:val="none" w:sz="0" w:space="0" w:color="auto"/>
                            <w:bottom w:val="none" w:sz="0" w:space="0" w:color="auto"/>
                            <w:right w:val="none" w:sz="0" w:space="0" w:color="auto"/>
                          </w:divBdr>
                          <w:divsChild>
                            <w:div w:id="3911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4212">
      <w:bodyDiv w:val="1"/>
      <w:marLeft w:val="0"/>
      <w:marRight w:val="0"/>
      <w:marTop w:val="0"/>
      <w:marBottom w:val="0"/>
      <w:divBdr>
        <w:top w:val="none" w:sz="0" w:space="0" w:color="auto"/>
        <w:left w:val="none" w:sz="0" w:space="0" w:color="auto"/>
        <w:bottom w:val="none" w:sz="0" w:space="0" w:color="auto"/>
        <w:right w:val="none" w:sz="0" w:space="0" w:color="auto"/>
      </w:divBdr>
      <w:divsChild>
        <w:div w:id="1997685427">
          <w:marLeft w:val="0"/>
          <w:marRight w:val="0"/>
          <w:marTop w:val="0"/>
          <w:marBottom w:val="0"/>
          <w:divBdr>
            <w:top w:val="none" w:sz="0" w:space="0" w:color="auto"/>
            <w:left w:val="none" w:sz="0" w:space="0" w:color="auto"/>
            <w:bottom w:val="none" w:sz="0" w:space="0" w:color="auto"/>
            <w:right w:val="none" w:sz="0" w:space="0" w:color="auto"/>
          </w:divBdr>
          <w:divsChild>
            <w:div w:id="1316491482">
              <w:marLeft w:val="0"/>
              <w:marRight w:val="0"/>
              <w:marTop w:val="0"/>
              <w:marBottom w:val="0"/>
              <w:divBdr>
                <w:top w:val="none" w:sz="0" w:space="0" w:color="auto"/>
                <w:left w:val="none" w:sz="0" w:space="0" w:color="auto"/>
                <w:bottom w:val="none" w:sz="0" w:space="0" w:color="auto"/>
                <w:right w:val="none" w:sz="0" w:space="0" w:color="auto"/>
              </w:divBdr>
              <w:divsChild>
                <w:div w:id="329254324">
                  <w:marLeft w:val="0"/>
                  <w:marRight w:val="0"/>
                  <w:marTop w:val="0"/>
                  <w:marBottom w:val="0"/>
                  <w:divBdr>
                    <w:top w:val="none" w:sz="0" w:space="0" w:color="auto"/>
                    <w:left w:val="none" w:sz="0" w:space="0" w:color="auto"/>
                    <w:bottom w:val="none" w:sz="0" w:space="0" w:color="auto"/>
                    <w:right w:val="none" w:sz="0" w:space="0" w:color="auto"/>
                  </w:divBdr>
                  <w:divsChild>
                    <w:div w:id="673648261">
                      <w:marLeft w:val="0"/>
                      <w:marRight w:val="0"/>
                      <w:marTop w:val="0"/>
                      <w:marBottom w:val="0"/>
                      <w:divBdr>
                        <w:top w:val="none" w:sz="0" w:space="0" w:color="auto"/>
                        <w:left w:val="none" w:sz="0" w:space="0" w:color="auto"/>
                        <w:bottom w:val="none" w:sz="0" w:space="0" w:color="auto"/>
                        <w:right w:val="none" w:sz="0" w:space="0" w:color="auto"/>
                      </w:divBdr>
                      <w:divsChild>
                        <w:div w:id="736366918">
                          <w:marLeft w:val="0"/>
                          <w:marRight w:val="0"/>
                          <w:marTop w:val="0"/>
                          <w:marBottom w:val="0"/>
                          <w:divBdr>
                            <w:top w:val="none" w:sz="0" w:space="0" w:color="auto"/>
                            <w:left w:val="none" w:sz="0" w:space="0" w:color="auto"/>
                            <w:bottom w:val="none" w:sz="0" w:space="0" w:color="auto"/>
                            <w:right w:val="none" w:sz="0" w:space="0" w:color="auto"/>
                          </w:divBdr>
                        </w:div>
                        <w:div w:id="11034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6496">
      <w:bodyDiv w:val="1"/>
      <w:marLeft w:val="0"/>
      <w:marRight w:val="0"/>
      <w:marTop w:val="0"/>
      <w:marBottom w:val="0"/>
      <w:divBdr>
        <w:top w:val="none" w:sz="0" w:space="0" w:color="auto"/>
        <w:left w:val="none" w:sz="0" w:space="0" w:color="auto"/>
        <w:bottom w:val="none" w:sz="0" w:space="0" w:color="auto"/>
        <w:right w:val="none" w:sz="0" w:space="0" w:color="auto"/>
      </w:divBdr>
      <w:divsChild>
        <w:div w:id="1736927879">
          <w:marLeft w:val="0"/>
          <w:marRight w:val="0"/>
          <w:marTop w:val="0"/>
          <w:marBottom w:val="0"/>
          <w:divBdr>
            <w:top w:val="none" w:sz="0" w:space="0" w:color="auto"/>
            <w:left w:val="none" w:sz="0" w:space="0" w:color="auto"/>
            <w:bottom w:val="none" w:sz="0" w:space="0" w:color="auto"/>
            <w:right w:val="none" w:sz="0" w:space="0" w:color="auto"/>
          </w:divBdr>
          <w:divsChild>
            <w:div w:id="682821832">
              <w:marLeft w:val="0"/>
              <w:marRight w:val="0"/>
              <w:marTop w:val="0"/>
              <w:marBottom w:val="0"/>
              <w:divBdr>
                <w:top w:val="none" w:sz="0" w:space="0" w:color="auto"/>
                <w:left w:val="none" w:sz="0" w:space="0" w:color="auto"/>
                <w:bottom w:val="none" w:sz="0" w:space="0" w:color="auto"/>
                <w:right w:val="none" w:sz="0" w:space="0" w:color="auto"/>
              </w:divBdr>
              <w:divsChild>
                <w:div w:id="1929652341">
                  <w:marLeft w:val="0"/>
                  <w:marRight w:val="0"/>
                  <w:marTop w:val="0"/>
                  <w:marBottom w:val="0"/>
                  <w:divBdr>
                    <w:top w:val="none" w:sz="0" w:space="0" w:color="auto"/>
                    <w:left w:val="none" w:sz="0" w:space="0" w:color="auto"/>
                    <w:bottom w:val="none" w:sz="0" w:space="0" w:color="auto"/>
                    <w:right w:val="none" w:sz="0" w:space="0" w:color="auto"/>
                  </w:divBdr>
                  <w:divsChild>
                    <w:div w:id="1402019912">
                      <w:marLeft w:val="0"/>
                      <w:marRight w:val="0"/>
                      <w:marTop w:val="0"/>
                      <w:marBottom w:val="0"/>
                      <w:divBdr>
                        <w:top w:val="none" w:sz="0" w:space="0" w:color="auto"/>
                        <w:left w:val="none" w:sz="0" w:space="0" w:color="auto"/>
                        <w:bottom w:val="none" w:sz="0" w:space="0" w:color="auto"/>
                        <w:right w:val="none" w:sz="0" w:space="0" w:color="auto"/>
                      </w:divBdr>
                      <w:divsChild>
                        <w:div w:id="1333607097">
                          <w:marLeft w:val="0"/>
                          <w:marRight w:val="0"/>
                          <w:marTop w:val="0"/>
                          <w:marBottom w:val="0"/>
                          <w:divBdr>
                            <w:top w:val="none" w:sz="0" w:space="0" w:color="auto"/>
                            <w:left w:val="none" w:sz="0" w:space="0" w:color="auto"/>
                            <w:bottom w:val="none" w:sz="0" w:space="0" w:color="auto"/>
                            <w:right w:val="none" w:sz="0" w:space="0" w:color="auto"/>
                          </w:divBdr>
                          <w:divsChild>
                            <w:div w:id="5433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6451854">
      <w:bodyDiv w:val="1"/>
      <w:marLeft w:val="0"/>
      <w:marRight w:val="0"/>
      <w:marTop w:val="0"/>
      <w:marBottom w:val="0"/>
      <w:divBdr>
        <w:top w:val="none" w:sz="0" w:space="0" w:color="auto"/>
        <w:left w:val="none" w:sz="0" w:space="0" w:color="auto"/>
        <w:bottom w:val="none" w:sz="0" w:space="0" w:color="auto"/>
        <w:right w:val="none" w:sz="0" w:space="0" w:color="auto"/>
      </w:divBdr>
      <w:divsChild>
        <w:div w:id="306057420">
          <w:marLeft w:val="0"/>
          <w:marRight w:val="0"/>
          <w:marTop w:val="0"/>
          <w:marBottom w:val="0"/>
          <w:divBdr>
            <w:top w:val="none" w:sz="0" w:space="0" w:color="auto"/>
            <w:left w:val="none" w:sz="0" w:space="0" w:color="auto"/>
            <w:bottom w:val="none" w:sz="0" w:space="0" w:color="auto"/>
            <w:right w:val="none" w:sz="0" w:space="0" w:color="auto"/>
          </w:divBdr>
          <w:divsChild>
            <w:div w:id="1089423369">
              <w:marLeft w:val="0"/>
              <w:marRight w:val="0"/>
              <w:marTop w:val="0"/>
              <w:marBottom w:val="0"/>
              <w:divBdr>
                <w:top w:val="none" w:sz="0" w:space="0" w:color="auto"/>
                <w:left w:val="none" w:sz="0" w:space="0" w:color="auto"/>
                <w:bottom w:val="none" w:sz="0" w:space="0" w:color="auto"/>
                <w:right w:val="none" w:sz="0" w:space="0" w:color="auto"/>
              </w:divBdr>
              <w:divsChild>
                <w:div w:id="161359946">
                  <w:marLeft w:val="0"/>
                  <w:marRight w:val="0"/>
                  <w:marTop w:val="0"/>
                  <w:marBottom w:val="0"/>
                  <w:divBdr>
                    <w:top w:val="none" w:sz="0" w:space="0" w:color="auto"/>
                    <w:left w:val="none" w:sz="0" w:space="0" w:color="auto"/>
                    <w:bottom w:val="none" w:sz="0" w:space="0" w:color="auto"/>
                    <w:right w:val="none" w:sz="0" w:space="0" w:color="auto"/>
                  </w:divBdr>
                  <w:divsChild>
                    <w:div w:id="1611356740">
                      <w:marLeft w:val="0"/>
                      <w:marRight w:val="0"/>
                      <w:marTop w:val="0"/>
                      <w:marBottom w:val="0"/>
                      <w:divBdr>
                        <w:top w:val="none" w:sz="0" w:space="0" w:color="auto"/>
                        <w:left w:val="none" w:sz="0" w:space="0" w:color="auto"/>
                        <w:bottom w:val="none" w:sz="0" w:space="0" w:color="auto"/>
                        <w:right w:val="none" w:sz="0" w:space="0" w:color="auto"/>
                      </w:divBdr>
                      <w:divsChild>
                        <w:div w:id="1769110336">
                          <w:marLeft w:val="0"/>
                          <w:marRight w:val="0"/>
                          <w:marTop w:val="0"/>
                          <w:marBottom w:val="0"/>
                          <w:divBdr>
                            <w:top w:val="none" w:sz="0" w:space="0" w:color="auto"/>
                            <w:left w:val="none" w:sz="0" w:space="0" w:color="auto"/>
                            <w:bottom w:val="none" w:sz="0" w:space="0" w:color="auto"/>
                            <w:right w:val="none" w:sz="0" w:space="0" w:color="auto"/>
                          </w:divBdr>
                          <w:divsChild>
                            <w:div w:id="21244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02247">
      <w:bodyDiv w:val="1"/>
      <w:marLeft w:val="0"/>
      <w:marRight w:val="0"/>
      <w:marTop w:val="0"/>
      <w:marBottom w:val="0"/>
      <w:divBdr>
        <w:top w:val="none" w:sz="0" w:space="0" w:color="auto"/>
        <w:left w:val="none" w:sz="0" w:space="0" w:color="auto"/>
        <w:bottom w:val="none" w:sz="0" w:space="0" w:color="auto"/>
        <w:right w:val="none" w:sz="0" w:space="0" w:color="auto"/>
      </w:divBdr>
      <w:divsChild>
        <w:div w:id="333189290">
          <w:marLeft w:val="0"/>
          <w:marRight w:val="0"/>
          <w:marTop w:val="0"/>
          <w:marBottom w:val="0"/>
          <w:divBdr>
            <w:top w:val="none" w:sz="0" w:space="0" w:color="auto"/>
            <w:left w:val="none" w:sz="0" w:space="0" w:color="auto"/>
            <w:bottom w:val="none" w:sz="0" w:space="0" w:color="auto"/>
            <w:right w:val="none" w:sz="0" w:space="0" w:color="auto"/>
          </w:divBdr>
          <w:divsChild>
            <w:div w:id="1987390748">
              <w:marLeft w:val="0"/>
              <w:marRight w:val="0"/>
              <w:marTop w:val="0"/>
              <w:marBottom w:val="0"/>
              <w:divBdr>
                <w:top w:val="none" w:sz="0" w:space="0" w:color="auto"/>
                <w:left w:val="none" w:sz="0" w:space="0" w:color="auto"/>
                <w:bottom w:val="none" w:sz="0" w:space="0" w:color="auto"/>
                <w:right w:val="none" w:sz="0" w:space="0" w:color="auto"/>
              </w:divBdr>
              <w:divsChild>
                <w:div w:id="1651010424">
                  <w:marLeft w:val="0"/>
                  <w:marRight w:val="0"/>
                  <w:marTop w:val="0"/>
                  <w:marBottom w:val="0"/>
                  <w:divBdr>
                    <w:top w:val="none" w:sz="0" w:space="0" w:color="auto"/>
                    <w:left w:val="none" w:sz="0" w:space="0" w:color="auto"/>
                    <w:bottom w:val="none" w:sz="0" w:space="0" w:color="auto"/>
                    <w:right w:val="none" w:sz="0" w:space="0" w:color="auto"/>
                  </w:divBdr>
                  <w:divsChild>
                    <w:div w:id="209388830">
                      <w:marLeft w:val="0"/>
                      <w:marRight w:val="0"/>
                      <w:marTop w:val="0"/>
                      <w:marBottom w:val="0"/>
                      <w:divBdr>
                        <w:top w:val="none" w:sz="0" w:space="0" w:color="auto"/>
                        <w:left w:val="none" w:sz="0" w:space="0" w:color="auto"/>
                        <w:bottom w:val="none" w:sz="0" w:space="0" w:color="auto"/>
                        <w:right w:val="none" w:sz="0" w:space="0" w:color="auto"/>
                      </w:divBdr>
                      <w:divsChild>
                        <w:div w:id="52776592">
                          <w:marLeft w:val="0"/>
                          <w:marRight w:val="0"/>
                          <w:marTop w:val="0"/>
                          <w:marBottom w:val="0"/>
                          <w:divBdr>
                            <w:top w:val="none" w:sz="0" w:space="0" w:color="auto"/>
                            <w:left w:val="none" w:sz="0" w:space="0" w:color="auto"/>
                            <w:bottom w:val="none" w:sz="0" w:space="0" w:color="auto"/>
                            <w:right w:val="none" w:sz="0" w:space="0" w:color="auto"/>
                          </w:divBdr>
                          <w:divsChild>
                            <w:div w:id="19031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365235">
      <w:bodyDiv w:val="1"/>
      <w:marLeft w:val="0"/>
      <w:marRight w:val="0"/>
      <w:marTop w:val="0"/>
      <w:marBottom w:val="0"/>
      <w:divBdr>
        <w:top w:val="none" w:sz="0" w:space="0" w:color="auto"/>
        <w:left w:val="none" w:sz="0" w:space="0" w:color="auto"/>
        <w:bottom w:val="none" w:sz="0" w:space="0" w:color="auto"/>
        <w:right w:val="none" w:sz="0" w:space="0" w:color="auto"/>
      </w:divBdr>
      <w:divsChild>
        <w:div w:id="151218046">
          <w:marLeft w:val="0"/>
          <w:marRight w:val="0"/>
          <w:marTop w:val="0"/>
          <w:marBottom w:val="0"/>
          <w:divBdr>
            <w:top w:val="none" w:sz="0" w:space="0" w:color="auto"/>
            <w:left w:val="none" w:sz="0" w:space="0" w:color="auto"/>
            <w:bottom w:val="none" w:sz="0" w:space="0" w:color="auto"/>
            <w:right w:val="none" w:sz="0" w:space="0" w:color="auto"/>
          </w:divBdr>
          <w:divsChild>
            <w:div w:id="603460152">
              <w:marLeft w:val="0"/>
              <w:marRight w:val="0"/>
              <w:marTop w:val="0"/>
              <w:marBottom w:val="0"/>
              <w:divBdr>
                <w:top w:val="none" w:sz="0" w:space="0" w:color="auto"/>
                <w:left w:val="none" w:sz="0" w:space="0" w:color="auto"/>
                <w:bottom w:val="none" w:sz="0" w:space="0" w:color="auto"/>
                <w:right w:val="none" w:sz="0" w:space="0" w:color="auto"/>
              </w:divBdr>
              <w:divsChild>
                <w:div w:id="432634843">
                  <w:marLeft w:val="0"/>
                  <w:marRight w:val="0"/>
                  <w:marTop w:val="0"/>
                  <w:marBottom w:val="0"/>
                  <w:divBdr>
                    <w:top w:val="none" w:sz="0" w:space="0" w:color="auto"/>
                    <w:left w:val="none" w:sz="0" w:space="0" w:color="auto"/>
                    <w:bottom w:val="none" w:sz="0" w:space="0" w:color="auto"/>
                    <w:right w:val="none" w:sz="0" w:space="0" w:color="auto"/>
                  </w:divBdr>
                  <w:divsChild>
                    <w:div w:id="1887181102">
                      <w:marLeft w:val="0"/>
                      <w:marRight w:val="0"/>
                      <w:marTop w:val="0"/>
                      <w:marBottom w:val="0"/>
                      <w:divBdr>
                        <w:top w:val="none" w:sz="0" w:space="0" w:color="auto"/>
                        <w:left w:val="none" w:sz="0" w:space="0" w:color="auto"/>
                        <w:bottom w:val="none" w:sz="0" w:space="0" w:color="auto"/>
                        <w:right w:val="none" w:sz="0" w:space="0" w:color="auto"/>
                      </w:divBdr>
                      <w:divsChild>
                        <w:div w:id="269894276">
                          <w:marLeft w:val="0"/>
                          <w:marRight w:val="0"/>
                          <w:marTop w:val="0"/>
                          <w:marBottom w:val="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5604">
      <w:bodyDiv w:val="1"/>
      <w:marLeft w:val="0"/>
      <w:marRight w:val="0"/>
      <w:marTop w:val="0"/>
      <w:marBottom w:val="0"/>
      <w:divBdr>
        <w:top w:val="none" w:sz="0" w:space="0" w:color="auto"/>
        <w:left w:val="none" w:sz="0" w:space="0" w:color="auto"/>
        <w:bottom w:val="none" w:sz="0" w:space="0" w:color="auto"/>
        <w:right w:val="none" w:sz="0" w:space="0" w:color="auto"/>
      </w:divBdr>
      <w:divsChild>
        <w:div w:id="209535867">
          <w:marLeft w:val="0"/>
          <w:marRight w:val="0"/>
          <w:marTop w:val="0"/>
          <w:marBottom w:val="0"/>
          <w:divBdr>
            <w:top w:val="none" w:sz="0" w:space="0" w:color="auto"/>
            <w:left w:val="none" w:sz="0" w:space="0" w:color="auto"/>
            <w:bottom w:val="none" w:sz="0" w:space="0" w:color="auto"/>
            <w:right w:val="none" w:sz="0" w:space="0" w:color="auto"/>
          </w:divBdr>
          <w:divsChild>
            <w:div w:id="1885829152">
              <w:marLeft w:val="0"/>
              <w:marRight w:val="0"/>
              <w:marTop w:val="0"/>
              <w:marBottom w:val="0"/>
              <w:divBdr>
                <w:top w:val="none" w:sz="0" w:space="0" w:color="auto"/>
                <w:left w:val="none" w:sz="0" w:space="0" w:color="auto"/>
                <w:bottom w:val="none" w:sz="0" w:space="0" w:color="auto"/>
                <w:right w:val="none" w:sz="0" w:space="0" w:color="auto"/>
              </w:divBdr>
              <w:divsChild>
                <w:div w:id="434055677">
                  <w:marLeft w:val="0"/>
                  <w:marRight w:val="0"/>
                  <w:marTop w:val="0"/>
                  <w:marBottom w:val="0"/>
                  <w:divBdr>
                    <w:top w:val="none" w:sz="0" w:space="0" w:color="auto"/>
                    <w:left w:val="none" w:sz="0" w:space="0" w:color="auto"/>
                    <w:bottom w:val="none" w:sz="0" w:space="0" w:color="auto"/>
                    <w:right w:val="none" w:sz="0" w:space="0" w:color="auto"/>
                  </w:divBdr>
                  <w:divsChild>
                    <w:div w:id="18749212">
                      <w:marLeft w:val="0"/>
                      <w:marRight w:val="0"/>
                      <w:marTop w:val="0"/>
                      <w:marBottom w:val="0"/>
                      <w:divBdr>
                        <w:top w:val="none" w:sz="0" w:space="0" w:color="auto"/>
                        <w:left w:val="none" w:sz="0" w:space="0" w:color="auto"/>
                        <w:bottom w:val="none" w:sz="0" w:space="0" w:color="auto"/>
                        <w:right w:val="none" w:sz="0" w:space="0" w:color="auto"/>
                      </w:divBdr>
                      <w:divsChild>
                        <w:div w:id="492529775">
                          <w:marLeft w:val="0"/>
                          <w:marRight w:val="0"/>
                          <w:marTop w:val="0"/>
                          <w:marBottom w:val="0"/>
                          <w:divBdr>
                            <w:top w:val="none" w:sz="0" w:space="0" w:color="auto"/>
                            <w:left w:val="none" w:sz="0" w:space="0" w:color="auto"/>
                            <w:bottom w:val="none" w:sz="0" w:space="0" w:color="auto"/>
                            <w:right w:val="none" w:sz="0" w:space="0" w:color="auto"/>
                          </w:divBdr>
                          <w:divsChild>
                            <w:div w:id="10407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14032">
      <w:bodyDiv w:val="1"/>
      <w:marLeft w:val="0"/>
      <w:marRight w:val="0"/>
      <w:marTop w:val="0"/>
      <w:marBottom w:val="0"/>
      <w:divBdr>
        <w:top w:val="none" w:sz="0" w:space="0" w:color="auto"/>
        <w:left w:val="none" w:sz="0" w:space="0" w:color="auto"/>
        <w:bottom w:val="none" w:sz="0" w:space="0" w:color="auto"/>
        <w:right w:val="none" w:sz="0" w:space="0" w:color="auto"/>
      </w:divBdr>
      <w:divsChild>
        <w:div w:id="1687293542">
          <w:marLeft w:val="0"/>
          <w:marRight w:val="0"/>
          <w:marTop w:val="0"/>
          <w:marBottom w:val="0"/>
          <w:divBdr>
            <w:top w:val="none" w:sz="0" w:space="0" w:color="auto"/>
            <w:left w:val="none" w:sz="0" w:space="0" w:color="auto"/>
            <w:bottom w:val="none" w:sz="0" w:space="0" w:color="auto"/>
            <w:right w:val="none" w:sz="0" w:space="0" w:color="auto"/>
          </w:divBdr>
          <w:divsChild>
            <w:div w:id="1555965677">
              <w:marLeft w:val="0"/>
              <w:marRight w:val="0"/>
              <w:marTop w:val="0"/>
              <w:marBottom w:val="0"/>
              <w:divBdr>
                <w:top w:val="none" w:sz="0" w:space="0" w:color="auto"/>
                <w:left w:val="none" w:sz="0" w:space="0" w:color="auto"/>
                <w:bottom w:val="none" w:sz="0" w:space="0" w:color="auto"/>
                <w:right w:val="none" w:sz="0" w:space="0" w:color="auto"/>
              </w:divBdr>
              <w:divsChild>
                <w:div w:id="1850412679">
                  <w:marLeft w:val="0"/>
                  <w:marRight w:val="0"/>
                  <w:marTop w:val="0"/>
                  <w:marBottom w:val="0"/>
                  <w:divBdr>
                    <w:top w:val="none" w:sz="0" w:space="0" w:color="auto"/>
                    <w:left w:val="none" w:sz="0" w:space="0" w:color="auto"/>
                    <w:bottom w:val="none" w:sz="0" w:space="0" w:color="auto"/>
                    <w:right w:val="none" w:sz="0" w:space="0" w:color="auto"/>
                  </w:divBdr>
                  <w:divsChild>
                    <w:div w:id="692803276">
                      <w:marLeft w:val="0"/>
                      <w:marRight w:val="0"/>
                      <w:marTop w:val="0"/>
                      <w:marBottom w:val="0"/>
                      <w:divBdr>
                        <w:top w:val="none" w:sz="0" w:space="0" w:color="auto"/>
                        <w:left w:val="none" w:sz="0" w:space="0" w:color="auto"/>
                        <w:bottom w:val="none" w:sz="0" w:space="0" w:color="auto"/>
                        <w:right w:val="none" w:sz="0" w:space="0" w:color="auto"/>
                      </w:divBdr>
                      <w:divsChild>
                        <w:div w:id="1410688775">
                          <w:marLeft w:val="0"/>
                          <w:marRight w:val="0"/>
                          <w:marTop w:val="0"/>
                          <w:marBottom w:val="0"/>
                          <w:divBdr>
                            <w:top w:val="none" w:sz="0" w:space="0" w:color="auto"/>
                            <w:left w:val="none" w:sz="0" w:space="0" w:color="auto"/>
                            <w:bottom w:val="none" w:sz="0" w:space="0" w:color="auto"/>
                            <w:right w:val="none" w:sz="0" w:space="0" w:color="auto"/>
                          </w:divBdr>
                          <w:divsChild>
                            <w:div w:id="10598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AFB32-D3B2-41F3-94DF-9FE6CF2857AE}"/>
</file>

<file path=customXml/itemProps2.xml><?xml version="1.0" encoding="utf-8"?>
<ds:datastoreItem xmlns:ds="http://schemas.openxmlformats.org/officeDocument/2006/customXml" ds:itemID="{4D163416-5B9B-467B-B417-4C980AA2F84A}"/>
</file>

<file path=customXml/itemProps3.xml><?xml version="1.0" encoding="utf-8"?>
<ds:datastoreItem xmlns:ds="http://schemas.openxmlformats.org/officeDocument/2006/customXml" ds:itemID="{77B9A419-EB83-438A-93BB-A6DA25BF6507}"/>
</file>

<file path=customXml/itemProps4.xml><?xml version="1.0" encoding="utf-8"?>
<ds:datastoreItem xmlns:ds="http://schemas.openxmlformats.org/officeDocument/2006/customXml" ds:itemID="{2B674B38-D91B-4FBF-ACA8-99BF2C8BBDC6}"/>
</file>

<file path=docProps/app.xml><?xml version="1.0" encoding="utf-8"?>
<Properties xmlns="http://schemas.openxmlformats.org/officeDocument/2006/extended-properties" xmlns:vt="http://schemas.openxmlformats.org/officeDocument/2006/docPropsVTypes">
  <Template>Normal.dotm</Template>
  <TotalTime>0</TotalTime>
  <Pages>1</Pages>
  <Words>6527</Words>
  <Characters>37209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cp:lastPrinted>2016-10-17T11:42:00Z</cp:lastPrinted>
  <dcterms:created xsi:type="dcterms:W3CDTF">2017-07-07T13:01:00Z</dcterms:created>
  <dcterms:modified xsi:type="dcterms:W3CDTF">2017-07-07T13:01:00Z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