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E3F9B" w:rsidR="00024EF5" w:rsidP="00FE3F9B" w:rsidRDefault="00024EF5">
      <w:pPr>
        <w:jc w:val="center"/>
        <w:rPr>
          <w:snapToGrid w:val="0"/>
          <w:szCs w:val="24"/>
          <w:lang w:val="fr-FR"/>
        </w:rPr>
      </w:pPr>
      <w:bookmarkStart w:name="_GoBack" w:id="0"/>
      <w:bookmarkEnd w:id="0"/>
    </w:p>
    <w:p w:rsidRPr="00FE3F9B" w:rsidR="00024EF5" w:rsidP="00FE3F9B" w:rsidRDefault="00024EF5">
      <w:pPr>
        <w:jc w:val="center"/>
        <w:rPr>
          <w:snapToGrid w:val="0"/>
          <w:szCs w:val="24"/>
          <w:lang w:val="fr-FR"/>
        </w:rPr>
      </w:pPr>
    </w:p>
    <w:p w:rsidRPr="00FE3F9B" w:rsidR="00E77CB3" w:rsidP="00FE3F9B" w:rsidRDefault="00E77CB3">
      <w:pPr>
        <w:jc w:val="center"/>
        <w:rPr>
          <w:lang w:val="fr-FR"/>
        </w:rPr>
      </w:pPr>
    </w:p>
    <w:p w:rsidRPr="00FE3F9B" w:rsidR="00E77CB3" w:rsidP="00FE3F9B" w:rsidRDefault="00584D97">
      <w:pPr>
        <w:jc w:val="center"/>
        <w:rPr>
          <w:lang w:val="fr-FR"/>
        </w:rPr>
      </w:pPr>
      <w:r w:rsidRPr="00FE3F9B">
        <w:rPr>
          <w:lang w:val="fr-FR"/>
        </w:rPr>
        <w:t>TROISIÈME SECTION</w:t>
      </w:r>
    </w:p>
    <w:p w:rsidRPr="00FE3F9B" w:rsidR="00E77CB3" w:rsidP="00FE3F9B" w:rsidRDefault="00E77CB3">
      <w:pPr>
        <w:jc w:val="center"/>
        <w:rPr>
          <w:lang w:val="fr-FR"/>
        </w:rPr>
      </w:pPr>
    </w:p>
    <w:p w:rsidRPr="00FE3F9B" w:rsidR="00024EF5" w:rsidP="00FE3F9B" w:rsidRDefault="00024EF5">
      <w:pPr>
        <w:jc w:val="center"/>
        <w:rPr>
          <w:lang w:val="fr-FR"/>
        </w:rPr>
      </w:pPr>
    </w:p>
    <w:p w:rsidRPr="00FE3F9B" w:rsidR="00024EF5" w:rsidP="00FE3F9B" w:rsidRDefault="00024EF5">
      <w:pPr>
        <w:jc w:val="center"/>
        <w:rPr>
          <w:lang w:val="fr-FR"/>
        </w:rPr>
      </w:pPr>
    </w:p>
    <w:p w:rsidRPr="00FE3F9B" w:rsidR="00024EF5" w:rsidP="00FE3F9B" w:rsidRDefault="00024EF5">
      <w:pPr>
        <w:jc w:val="center"/>
        <w:rPr>
          <w:lang w:val="fr-FR"/>
        </w:rPr>
      </w:pPr>
    </w:p>
    <w:p w:rsidRPr="00FE3F9B" w:rsidR="00024EF5" w:rsidP="00FE3F9B" w:rsidRDefault="00024EF5">
      <w:pPr>
        <w:jc w:val="center"/>
        <w:rPr>
          <w:lang w:val="fr-FR"/>
        </w:rPr>
      </w:pPr>
    </w:p>
    <w:p w:rsidRPr="00FE3F9B" w:rsidR="00024EF5" w:rsidP="00FE3F9B" w:rsidRDefault="00024EF5">
      <w:pPr>
        <w:jc w:val="center"/>
        <w:rPr>
          <w:lang w:val="fr-FR"/>
        </w:rPr>
      </w:pPr>
    </w:p>
    <w:p w:rsidRPr="00FE3F9B" w:rsidR="00157FEB" w:rsidP="00FE3F9B" w:rsidRDefault="00157FEB">
      <w:pPr>
        <w:jc w:val="center"/>
        <w:rPr>
          <w:lang w:val="ru-RU"/>
        </w:rPr>
      </w:pPr>
    </w:p>
    <w:p w:rsidRPr="00FE3F9B" w:rsidR="00157FEB" w:rsidP="00FE3F9B" w:rsidRDefault="00157FEB">
      <w:pPr>
        <w:jc w:val="center"/>
        <w:rPr>
          <w:lang w:val="fr-FR"/>
        </w:rPr>
      </w:pPr>
    </w:p>
    <w:p w:rsidRPr="00FE3F9B" w:rsidR="00157FEB" w:rsidP="00FE3F9B" w:rsidRDefault="00157FEB">
      <w:pPr>
        <w:jc w:val="center"/>
        <w:rPr>
          <w:lang w:val="fr-FR"/>
        </w:rPr>
      </w:pPr>
    </w:p>
    <w:p w:rsidRPr="00FE3F9B" w:rsidR="00E77CB3" w:rsidP="00FE3F9B" w:rsidRDefault="00E77CB3">
      <w:pPr>
        <w:jc w:val="center"/>
        <w:rPr>
          <w:b/>
          <w:lang w:val="fr-FR"/>
        </w:rPr>
      </w:pPr>
      <w:bookmarkStart w:name="To" w:id="1"/>
      <w:r w:rsidRPr="00FE3F9B">
        <w:rPr>
          <w:b/>
          <w:lang w:val="fr-FR"/>
        </w:rPr>
        <w:t xml:space="preserve">AFFAIRE </w:t>
      </w:r>
      <w:bookmarkEnd w:id="1"/>
      <w:r w:rsidRPr="00FE3F9B" w:rsidR="00584D97">
        <w:rPr>
          <w:b/>
          <w:lang w:val="fr-FR"/>
        </w:rPr>
        <w:t>SHEVTSOVA c. RUSSIE</w:t>
      </w:r>
    </w:p>
    <w:p w:rsidRPr="00FE3F9B" w:rsidR="00E77CB3" w:rsidP="00FE3F9B" w:rsidRDefault="00E77CB3">
      <w:pPr>
        <w:jc w:val="center"/>
        <w:rPr>
          <w:lang w:val="fr-FR"/>
        </w:rPr>
      </w:pPr>
    </w:p>
    <w:p w:rsidRPr="00FE3F9B" w:rsidR="00024EF5" w:rsidP="00FE3F9B" w:rsidRDefault="00E77CB3">
      <w:pPr>
        <w:jc w:val="center"/>
        <w:rPr>
          <w:i/>
          <w:lang w:val="fr-FR"/>
        </w:rPr>
      </w:pPr>
      <w:r w:rsidRPr="00FE3F9B">
        <w:rPr>
          <w:i/>
          <w:lang w:val="fr-FR"/>
        </w:rPr>
        <w:t>(</w:t>
      </w:r>
      <w:r w:rsidRPr="00FE3F9B" w:rsidR="00584D97">
        <w:rPr>
          <w:i/>
          <w:lang w:val="fr-FR"/>
        </w:rPr>
        <w:t>Requête n</w:t>
      </w:r>
      <w:r w:rsidRPr="00FE3F9B" w:rsidR="00584D97">
        <w:rPr>
          <w:i/>
          <w:vertAlign w:val="superscript"/>
          <w:lang w:val="fr-FR"/>
        </w:rPr>
        <w:t>o</w:t>
      </w:r>
      <w:r w:rsidRPr="00FE3F9B" w:rsidR="00584D97">
        <w:rPr>
          <w:i/>
          <w:lang w:val="fr-FR"/>
        </w:rPr>
        <w:t xml:space="preserve"> 36620/07</w:t>
      </w:r>
      <w:r w:rsidRPr="00FE3F9B">
        <w:rPr>
          <w:i/>
          <w:lang w:val="fr-FR"/>
        </w:rPr>
        <w:t>)</w:t>
      </w:r>
    </w:p>
    <w:p w:rsidRPr="00FE3F9B" w:rsidR="00024EF5" w:rsidP="00FE3F9B" w:rsidRDefault="00024EF5">
      <w:pPr>
        <w:jc w:val="center"/>
        <w:rPr>
          <w:szCs w:val="24"/>
          <w:lang w:val="fr-FR"/>
        </w:rPr>
      </w:pPr>
    </w:p>
    <w:p w:rsidRPr="00FE3F9B" w:rsidR="00024EF5" w:rsidP="00FE3F9B" w:rsidRDefault="00024EF5">
      <w:pPr>
        <w:jc w:val="center"/>
        <w:rPr>
          <w:szCs w:val="24"/>
          <w:lang w:val="fr-FR"/>
        </w:rPr>
      </w:pPr>
    </w:p>
    <w:p w:rsidRPr="00FE3F9B" w:rsidR="00024EF5" w:rsidP="00FE3F9B" w:rsidRDefault="00024EF5">
      <w:pPr>
        <w:jc w:val="center"/>
        <w:rPr>
          <w:szCs w:val="24"/>
          <w:lang w:val="fr-FR"/>
        </w:rPr>
      </w:pPr>
    </w:p>
    <w:p w:rsidRPr="00FE3F9B" w:rsidR="00024EF5" w:rsidP="00FE3F9B" w:rsidRDefault="00024EF5">
      <w:pPr>
        <w:jc w:val="center"/>
        <w:rPr>
          <w:szCs w:val="24"/>
          <w:lang w:val="fr-FR"/>
        </w:rPr>
      </w:pPr>
    </w:p>
    <w:p w:rsidRPr="00FE3F9B" w:rsidR="00024EF5" w:rsidP="00FE3F9B" w:rsidRDefault="00024EF5">
      <w:pPr>
        <w:jc w:val="center"/>
        <w:rPr>
          <w:szCs w:val="24"/>
          <w:lang w:val="fr-FR"/>
        </w:rPr>
      </w:pPr>
    </w:p>
    <w:p w:rsidRPr="00FE3F9B" w:rsidR="00953EE7" w:rsidP="00FE3F9B" w:rsidRDefault="00953EE7">
      <w:pPr>
        <w:jc w:val="center"/>
        <w:rPr>
          <w:szCs w:val="24"/>
          <w:lang w:val="fr-FR"/>
        </w:rPr>
      </w:pPr>
    </w:p>
    <w:p w:rsidRPr="00FE3F9B" w:rsidR="00024EF5" w:rsidP="00FE3F9B" w:rsidRDefault="00024EF5">
      <w:pPr>
        <w:jc w:val="center"/>
        <w:rPr>
          <w:szCs w:val="24"/>
          <w:lang w:val="fr-FR"/>
        </w:rPr>
      </w:pPr>
      <w:r w:rsidRPr="00FE3F9B">
        <w:rPr>
          <w:szCs w:val="24"/>
          <w:lang w:val="fr-FR"/>
        </w:rPr>
        <w:t>ARRÊT</w:t>
      </w:r>
    </w:p>
    <w:p w:rsidRPr="00FE3F9B" w:rsidR="00024EF5" w:rsidP="00FE3F9B" w:rsidRDefault="00024EF5">
      <w:pPr>
        <w:jc w:val="center"/>
        <w:rPr>
          <w:szCs w:val="24"/>
          <w:lang w:val="fr-FR"/>
        </w:rPr>
      </w:pPr>
    </w:p>
    <w:p w:rsidRPr="00FE3F9B" w:rsidR="00024EF5" w:rsidP="00FE3F9B" w:rsidRDefault="00024EF5">
      <w:pPr>
        <w:jc w:val="center"/>
        <w:rPr>
          <w:szCs w:val="24"/>
          <w:lang w:val="fr-FR"/>
        </w:rPr>
      </w:pPr>
    </w:p>
    <w:p w:rsidRPr="00FE3F9B" w:rsidR="00953EE7" w:rsidP="00FE3F9B" w:rsidRDefault="00953EE7">
      <w:pPr>
        <w:jc w:val="center"/>
        <w:rPr>
          <w:szCs w:val="24"/>
          <w:lang w:val="fr-FR"/>
        </w:rPr>
      </w:pPr>
    </w:p>
    <w:p w:rsidRPr="00FE3F9B" w:rsidR="00024EF5" w:rsidP="00FE3F9B" w:rsidRDefault="00024EF5">
      <w:pPr>
        <w:jc w:val="center"/>
        <w:rPr>
          <w:szCs w:val="24"/>
          <w:lang w:val="fr-FR"/>
        </w:rPr>
      </w:pPr>
    </w:p>
    <w:p w:rsidRPr="00FE3F9B" w:rsidR="00024EF5" w:rsidP="00FE3F9B" w:rsidRDefault="00024EF5">
      <w:pPr>
        <w:pStyle w:val="JuCase"/>
        <w:jc w:val="center"/>
        <w:rPr>
          <w:b w:val="0"/>
          <w:lang w:val="fr-FR"/>
        </w:rPr>
      </w:pPr>
      <w:r w:rsidRPr="00FE3F9B">
        <w:rPr>
          <w:b w:val="0"/>
          <w:lang w:val="fr-FR"/>
        </w:rPr>
        <w:t>STRASBOURG</w:t>
      </w:r>
    </w:p>
    <w:p w:rsidRPr="00FE3F9B" w:rsidR="00024EF5" w:rsidP="00FE3F9B" w:rsidRDefault="00024EF5">
      <w:pPr>
        <w:jc w:val="center"/>
        <w:rPr>
          <w:szCs w:val="24"/>
          <w:lang w:val="fr-FR"/>
        </w:rPr>
      </w:pPr>
    </w:p>
    <w:p w:rsidRPr="00FE3F9B" w:rsidR="00024EF5" w:rsidP="00FE3F9B" w:rsidRDefault="00024EF5">
      <w:pPr>
        <w:pStyle w:val="JuCase"/>
        <w:jc w:val="center"/>
        <w:rPr>
          <w:b w:val="0"/>
          <w:lang w:val="fr-FR"/>
        </w:rPr>
      </w:pPr>
      <w:r w:rsidRPr="00FE3F9B">
        <w:rPr>
          <w:b w:val="0"/>
          <w:lang w:val="fr-FR"/>
        </w:rPr>
        <w:t>3 octobre 2017</w:t>
      </w:r>
    </w:p>
    <w:p w:rsidRPr="00FE3F9B" w:rsidR="00024EF5" w:rsidP="00FE3F9B" w:rsidRDefault="00024EF5">
      <w:pPr>
        <w:jc w:val="center"/>
        <w:rPr>
          <w:szCs w:val="24"/>
          <w:lang w:val="fr-FR"/>
        </w:rPr>
      </w:pPr>
    </w:p>
    <w:p w:rsidRPr="00FE3F9B" w:rsidR="00FE3F9B" w:rsidP="00FE3F9B" w:rsidRDefault="00FE3F9B">
      <w:pPr>
        <w:pStyle w:val="jucase0"/>
        <w:ind w:firstLine="0"/>
        <w:jc w:val="center"/>
        <w:rPr>
          <w:color w:val="FF0000"/>
          <w:sz w:val="28"/>
          <w:szCs w:val="28"/>
          <w:u w:val="single"/>
          <w:lang w:val="fr-FR"/>
        </w:rPr>
      </w:pPr>
      <w:r w:rsidRPr="00FE3F9B">
        <w:rPr>
          <w:color w:val="FF0000"/>
          <w:sz w:val="28"/>
          <w:szCs w:val="28"/>
          <w:u w:val="single"/>
          <w:lang w:val="fr-FR"/>
        </w:rPr>
        <w:t>DÉFINITIF</w:t>
      </w:r>
    </w:p>
    <w:p w:rsidRPr="00FE3F9B" w:rsidR="00FE3F9B" w:rsidP="00FE3F9B" w:rsidRDefault="00FE3F9B">
      <w:pPr>
        <w:pStyle w:val="jupara"/>
        <w:tabs>
          <w:tab w:val="left" w:pos="3450"/>
        </w:tabs>
        <w:ind w:firstLine="0"/>
        <w:jc w:val="center"/>
        <w:rPr>
          <w:color w:val="FF0000"/>
          <w:sz w:val="28"/>
          <w:szCs w:val="28"/>
          <w:lang w:val="fr-FR"/>
        </w:rPr>
      </w:pPr>
    </w:p>
    <w:p w:rsidRPr="00FE3F9B" w:rsidR="00FE3F9B" w:rsidP="00FE3F9B" w:rsidRDefault="00FE3F9B">
      <w:pPr>
        <w:pStyle w:val="jupara"/>
        <w:ind w:firstLine="0"/>
        <w:jc w:val="center"/>
        <w:rPr>
          <w:color w:val="FF0000"/>
          <w:sz w:val="28"/>
          <w:szCs w:val="28"/>
          <w:lang w:val="fr-FR"/>
        </w:rPr>
      </w:pPr>
      <w:r w:rsidRPr="00FE3F9B">
        <w:rPr>
          <w:color w:val="FF0000"/>
          <w:sz w:val="28"/>
          <w:szCs w:val="28"/>
          <w:lang w:val="fr-FR"/>
        </w:rPr>
        <w:t>03/01/2018</w:t>
      </w:r>
    </w:p>
    <w:p w:rsidRPr="00FE3F9B" w:rsidR="00FE3F9B" w:rsidP="00FE3F9B" w:rsidRDefault="00FE3F9B">
      <w:pPr>
        <w:pStyle w:val="jupara"/>
        <w:ind w:firstLine="0"/>
        <w:jc w:val="center"/>
        <w:rPr>
          <w:u w:val="single"/>
          <w:lang w:val="fr-FR"/>
        </w:rPr>
      </w:pPr>
    </w:p>
    <w:p w:rsidRPr="00FE3F9B" w:rsidR="00007194" w:rsidP="00FE3F9B" w:rsidRDefault="00FE3F9B">
      <w:pPr>
        <w:jc w:val="center"/>
        <w:rPr>
          <w:szCs w:val="24"/>
          <w:lang w:val="fr-FR"/>
        </w:rPr>
      </w:pPr>
      <w:r w:rsidRPr="00FE3F9B">
        <w:rPr>
          <w:i/>
          <w:iCs/>
          <w:sz w:val="22"/>
          <w:lang w:val="fr-FR"/>
        </w:rPr>
        <w:t>Cet arrêt est devenu définitif en vertu de l’article 44 § 2 de la Convention. Il peut subir des retouches de forme.</w:t>
      </w:r>
    </w:p>
    <w:p w:rsidRPr="00FE3F9B" w:rsidR="00024EF5" w:rsidP="00FE3F9B" w:rsidRDefault="00024EF5">
      <w:pPr>
        <w:pStyle w:val="JuCase"/>
        <w:rPr>
          <w:lang w:val="fr-FR"/>
        </w:rPr>
        <w:sectPr w:rsidRPr="00FE3F9B" w:rsidR="00024EF5" w:rsidSect="001C291A">
          <w:headerReference w:type="default" r:id="rId8"/>
          <w:headerReference w:type="first" r:id="rId9"/>
          <w:footerReference w:type="first" r:id="rId10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Pr="00FE3F9B" w:rsidR="00E77CB3" w:rsidP="00FE3F9B" w:rsidRDefault="00E77CB3">
      <w:pPr>
        <w:pStyle w:val="JuCase"/>
        <w:rPr>
          <w:lang w:val="fr-FR"/>
        </w:rPr>
      </w:pPr>
      <w:r w:rsidRPr="00FE3F9B">
        <w:rPr>
          <w:lang w:val="fr-FR"/>
        </w:rPr>
        <w:t>En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affaire </w:t>
      </w:r>
      <w:r w:rsidRPr="00FE3F9B" w:rsidR="00584D97">
        <w:rPr>
          <w:lang w:val="fr-FR"/>
        </w:rPr>
        <w:t>Shevtsova c. Russie</w:t>
      </w:r>
      <w:r w:rsidRPr="00FE3F9B">
        <w:rPr>
          <w:lang w:val="fr-FR"/>
        </w:rPr>
        <w:t>,</w:t>
      </w:r>
    </w:p>
    <w:p w:rsidRPr="00FE3F9B" w:rsidR="00E77CB3" w:rsidP="00FE3F9B" w:rsidRDefault="00E77CB3">
      <w:pPr>
        <w:pStyle w:val="ECHRPara"/>
        <w:rPr>
          <w:lang w:val="fr-FR"/>
        </w:rPr>
      </w:pPr>
      <w:r w:rsidRPr="00FE3F9B">
        <w:rPr>
          <w:lang w:val="fr-FR"/>
        </w:rPr>
        <w:t>La Cour européenne des droits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homme (</w:t>
      </w:r>
      <w:r w:rsidRPr="00FE3F9B" w:rsidR="00584D97">
        <w:rPr>
          <w:lang w:val="fr-FR"/>
        </w:rPr>
        <w:t>troisième section</w:t>
      </w:r>
      <w:r w:rsidRPr="00FE3F9B">
        <w:rPr>
          <w:lang w:val="fr-FR"/>
        </w:rPr>
        <w:t xml:space="preserve">), siégeant en </w:t>
      </w:r>
      <w:r w:rsidRPr="00FE3F9B" w:rsidR="00584D97">
        <w:rPr>
          <w:lang w:val="fr-FR"/>
        </w:rPr>
        <w:t>une chambre composée</w:t>
      </w:r>
      <w:r w:rsidRPr="00FE3F9B">
        <w:rPr>
          <w:lang w:val="fr-FR"/>
        </w:rPr>
        <w:t xml:space="preserve"> de :</w:t>
      </w:r>
    </w:p>
    <w:p w:rsidRPr="00FE3F9B" w:rsidR="00E77CB3" w:rsidP="00FE3F9B" w:rsidRDefault="00024EF5">
      <w:pPr>
        <w:pStyle w:val="ECHRDecisionBody"/>
        <w:rPr>
          <w:lang w:val="fr-FR"/>
        </w:rPr>
      </w:pPr>
      <w:r w:rsidRPr="00FE3F9B">
        <w:rPr>
          <w:lang w:val="fr-FR"/>
        </w:rPr>
        <w:tab/>
        <w:t>Branko Lubarda,</w:t>
      </w:r>
      <w:r w:rsidRPr="00FE3F9B">
        <w:rPr>
          <w:i/>
          <w:lang w:val="fr-FR"/>
        </w:rPr>
        <w:t xml:space="preserve"> président,</w:t>
      </w:r>
      <w:r w:rsidRPr="00FE3F9B">
        <w:rPr>
          <w:i/>
          <w:lang w:val="fr-FR"/>
        </w:rPr>
        <w:br/>
      </w:r>
      <w:r w:rsidRPr="00FE3F9B">
        <w:rPr>
          <w:lang w:val="fr-FR"/>
        </w:rPr>
        <w:tab/>
        <w:t>Helen Keller,</w:t>
      </w:r>
      <w:r w:rsidRPr="00FE3F9B">
        <w:rPr>
          <w:i/>
          <w:lang w:val="fr-FR"/>
        </w:rPr>
        <w:br/>
      </w:r>
      <w:r w:rsidRPr="00FE3F9B">
        <w:rPr>
          <w:lang w:val="fr-FR"/>
        </w:rPr>
        <w:tab/>
        <w:t>Dmitry Dedov,</w:t>
      </w:r>
      <w:r w:rsidRPr="00FE3F9B">
        <w:rPr>
          <w:i/>
          <w:lang w:val="fr-FR"/>
        </w:rPr>
        <w:br/>
      </w:r>
      <w:r w:rsidRPr="00FE3F9B">
        <w:rPr>
          <w:lang w:val="fr-FR"/>
        </w:rPr>
        <w:tab/>
        <w:t>Pere Pastor Vilanova,</w:t>
      </w:r>
      <w:r w:rsidRPr="00FE3F9B">
        <w:rPr>
          <w:i/>
          <w:lang w:val="fr-FR"/>
        </w:rPr>
        <w:br/>
      </w:r>
      <w:r w:rsidRPr="00FE3F9B">
        <w:rPr>
          <w:lang w:val="fr-FR"/>
        </w:rPr>
        <w:tab/>
        <w:t>Alena Poláčková,</w:t>
      </w:r>
      <w:r w:rsidRPr="00FE3F9B">
        <w:rPr>
          <w:i/>
          <w:lang w:val="fr-FR"/>
        </w:rPr>
        <w:br/>
      </w:r>
      <w:r w:rsidRPr="00FE3F9B">
        <w:rPr>
          <w:lang w:val="fr-FR"/>
        </w:rPr>
        <w:tab/>
        <w:t>Georgios A. Serghides,</w:t>
      </w:r>
      <w:r w:rsidRPr="00FE3F9B">
        <w:rPr>
          <w:i/>
          <w:lang w:val="fr-FR"/>
        </w:rPr>
        <w:br/>
      </w:r>
      <w:r w:rsidRPr="00FE3F9B">
        <w:rPr>
          <w:lang w:val="fr-FR"/>
        </w:rPr>
        <w:tab/>
        <w:t>Jolien Schukking,</w:t>
      </w:r>
      <w:r w:rsidRPr="00FE3F9B">
        <w:rPr>
          <w:i/>
          <w:lang w:val="fr-FR"/>
        </w:rPr>
        <w:t xml:space="preserve"> juges,</w:t>
      </w:r>
      <w:r w:rsidRPr="00FE3F9B">
        <w:rPr>
          <w:i/>
          <w:lang w:val="fr-FR"/>
        </w:rPr>
        <w:br/>
      </w:r>
      <w:r w:rsidRPr="00FE3F9B" w:rsidR="00E77CB3">
        <w:rPr>
          <w:lang w:val="fr-FR"/>
        </w:rPr>
        <w:t xml:space="preserve">et de </w:t>
      </w:r>
      <w:r w:rsidRPr="00FE3F9B">
        <w:rPr>
          <w:lang w:val="fr-FR"/>
        </w:rPr>
        <w:t xml:space="preserve">Fatoş Aracı, </w:t>
      </w:r>
      <w:r w:rsidRPr="00FE3F9B">
        <w:rPr>
          <w:i/>
          <w:lang w:val="fr-FR"/>
        </w:rPr>
        <w:t>greffière adjointe de section</w:t>
      </w:r>
      <w:r w:rsidRPr="00FE3F9B" w:rsidR="00E77CB3">
        <w:rPr>
          <w:lang w:val="fr-FR"/>
        </w:rPr>
        <w:t>,</w:t>
      </w:r>
    </w:p>
    <w:p w:rsidRPr="00FE3F9B" w:rsidR="00E77CB3" w:rsidP="00FE3F9B" w:rsidRDefault="00E77CB3">
      <w:pPr>
        <w:pStyle w:val="ECHRPara"/>
        <w:rPr>
          <w:lang w:val="fr-FR"/>
        </w:rPr>
      </w:pPr>
      <w:r w:rsidRPr="00FE3F9B">
        <w:rPr>
          <w:lang w:val="fr-FR"/>
        </w:rPr>
        <w:t xml:space="preserve">Après en avoir délibéré en chambre du conseil le </w:t>
      </w:r>
      <w:r w:rsidRPr="00FE3F9B" w:rsidR="00971CCE">
        <w:rPr>
          <w:lang w:val="fr-FR"/>
        </w:rPr>
        <w:t>12 septembre 2017</w:t>
      </w:r>
      <w:r w:rsidRPr="00FE3F9B">
        <w:rPr>
          <w:lang w:val="fr-FR"/>
        </w:rPr>
        <w:t>,</w:t>
      </w:r>
    </w:p>
    <w:p w:rsidRPr="00FE3F9B" w:rsidR="00E77CB3" w:rsidP="00FE3F9B" w:rsidRDefault="00E77CB3">
      <w:pPr>
        <w:pStyle w:val="ECHRPara"/>
        <w:rPr>
          <w:lang w:val="fr-FR"/>
        </w:rPr>
      </w:pPr>
      <w:r w:rsidRPr="00FE3F9B">
        <w:rPr>
          <w:lang w:val="fr-FR"/>
        </w:rPr>
        <w:t>Rend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arrêt que voici, adopté à cette date :</w:t>
      </w:r>
    </w:p>
    <w:p w:rsidRPr="00FE3F9B" w:rsidR="00E77CB3" w:rsidP="00FE3F9B" w:rsidRDefault="00E77CB3">
      <w:pPr>
        <w:pStyle w:val="ECHRTitle1"/>
        <w:rPr>
          <w:lang w:val="fr-FR"/>
        </w:rPr>
      </w:pPr>
      <w:r w:rsidRPr="00FE3F9B">
        <w:rPr>
          <w:lang w:val="fr-FR"/>
        </w:rPr>
        <w:t>PROCÉDURE</w:t>
      </w:r>
    </w:p>
    <w:p w:rsidRPr="00FE3F9B" w:rsidR="00E77CB3" w:rsidP="00FE3F9B" w:rsidRDefault="0049551C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1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</w:t>
      </w:r>
      <w:r w:rsidRPr="00FE3F9B" w:rsidR="00E77CB3">
        <w:rPr>
          <w:lang w:val="fr-FR"/>
        </w:rPr>
        <w:t>À l</w:t>
      </w:r>
      <w:r w:rsidRPr="00FE3F9B" w:rsidR="00FE3F9B">
        <w:rPr>
          <w:lang w:val="fr-FR"/>
        </w:rPr>
        <w:t>’</w:t>
      </w:r>
      <w:r w:rsidRPr="00FE3F9B" w:rsidR="00E77CB3">
        <w:rPr>
          <w:lang w:val="fr-FR"/>
        </w:rPr>
        <w:t>origine de l</w:t>
      </w:r>
      <w:r w:rsidRPr="00FE3F9B" w:rsidR="00FE3F9B">
        <w:rPr>
          <w:lang w:val="fr-FR"/>
        </w:rPr>
        <w:t>’</w:t>
      </w:r>
      <w:r w:rsidRPr="00FE3F9B" w:rsidR="00E77CB3">
        <w:rPr>
          <w:lang w:val="fr-FR"/>
        </w:rPr>
        <w:t xml:space="preserve">affaire </w:t>
      </w:r>
      <w:r w:rsidRPr="00FE3F9B" w:rsidR="00584D97">
        <w:rPr>
          <w:lang w:val="fr-FR"/>
        </w:rPr>
        <w:t>se trouve une requête (n</w:t>
      </w:r>
      <w:r w:rsidRPr="00FE3F9B" w:rsidR="00024EF5">
        <w:rPr>
          <w:vertAlign w:val="superscript"/>
          <w:lang w:val="fr-FR"/>
        </w:rPr>
        <w:t>o</w:t>
      </w:r>
      <w:r w:rsidRPr="00FE3F9B" w:rsidR="00584D97">
        <w:rPr>
          <w:lang w:val="fr-FR"/>
        </w:rPr>
        <w:t xml:space="preserve"> 36620/07) dirigée</w:t>
      </w:r>
      <w:r w:rsidRPr="00FE3F9B" w:rsidR="00E77CB3">
        <w:rPr>
          <w:lang w:val="fr-FR"/>
        </w:rPr>
        <w:t xml:space="preserve"> contre </w:t>
      </w:r>
      <w:r w:rsidRPr="00FE3F9B" w:rsidR="00584D97">
        <w:rPr>
          <w:lang w:val="fr-FR"/>
        </w:rPr>
        <w:t>la Fédération de Russie</w:t>
      </w:r>
      <w:r w:rsidRPr="00FE3F9B" w:rsidR="00E77CB3">
        <w:rPr>
          <w:lang w:val="fr-FR"/>
        </w:rPr>
        <w:t xml:space="preserve"> et dont </w:t>
      </w:r>
      <w:r w:rsidRPr="00FE3F9B" w:rsidR="00584D97">
        <w:rPr>
          <w:lang w:val="fr-FR"/>
        </w:rPr>
        <w:t>une ressortissante de cet État, M</w:t>
      </w:r>
      <w:r w:rsidRPr="00FE3F9B" w:rsidR="00584D97">
        <w:rPr>
          <w:vertAlign w:val="superscript"/>
          <w:lang w:val="fr-FR"/>
        </w:rPr>
        <w:t>me</w:t>
      </w:r>
      <w:r w:rsidRPr="00FE3F9B" w:rsidR="00A47854">
        <w:rPr>
          <w:lang w:val="fr-FR"/>
        </w:rPr>
        <w:t> </w:t>
      </w:r>
      <w:r w:rsidRPr="00FE3F9B" w:rsidR="00584D97">
        <w:rPr>
          <w:lang w:val="fr-FR"/>
        </w:rPr>
        <w:t xml:space="preserve">Lyubov Prokofyevna Shevtsova (« la requérante »), a saisi la Cour le </w:t>
      </w:r>
      <w:r w:rsidRPr="00FE3F9B" w:rsidR="0093559A">
        <w:rPr>
          <w:lang w:val="fr-FR"/>
        </w:rPr>
        <w:t>27 </w:t>
      </w:r>
      <w:r w:rsidRPr="00FE3F9B" w:rsidR="00584D97">
        <w:rPr>
          <w:lang w:val="fr-FR"/>
        </w:rPr>
        <w:t>juillet 2007</w:t>
      </w:r>
      <w:r w:rsidRPr="00FE3F9B" w:rsidR="00E77CB3">
        <w:rPr>
          <w:lang w:val="fr-FR"/>
        </w:rPr>
        <w:t xml:space="preserve"> en vertu de </w:t>
      </w:r>
      <w:r w:rsidRPr="00FE3F9B" w:rsidR="00584D97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 w:rsidR="00584D97">
        <w:rPr>
          <w:lang w:val="fr-FR"/>
        </w:rPr>
        <w:t>article 34</w:t>
      </w:r>
      <w:r w:rsidRPr="00FE3F9B" w:rsidR="00E77CB3">
        <w:rPr>
          <w:lang w:val="fr-FR"/>
        </w:rPr>
        <w:t xml:space="preserve"> de la Convention de sauvegarde des droits de l</w:t>
      </w:r>
      <w:r w:rsidRPr="00FE3F9B" w:rsidR="00FE3F9B">
        <w:rPr>
          <w:lang w:val="fr-FR"/>
        </w:rPr>
        <w:t>’</w:t>
      </w:r>
      <w:r w:rsidRPr="00FE3F9B" w:rsidR="00E77CB3">
        <w:rPr>
          <w:lang w:val="fr-FR"/>
        </w:rPr>
        <w:t>homme et des libertés fondamentales (« la Convention »).</w:t>
      </w:r>
    </w:p>
    <w:p w:rsidRPr="00FE3F9B" w:rsidR="00584D97" w:rsidP="00FE3F9B" w:rsidRDefault="00584D9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2</w:t>
      </w:r>
      <w:r w:rsidRPr="00FE3F9B">
        <w:rPr>
          <w:lang w:val="fr-FR"/>
        </w:rPr>
        <w:fldChar w:fldCharType="end"/>
      </w:r>
      <w:r w:rsidRPr="00FE3F9B" w:rsidR="00E77CB3">
        <w:rPr>
          <w:lang w:val="fr-FR"/>
        </w:rPr>
        <w:t>.  </w:t>
      </w:r>
      <w:r w:rsidRPr="00FE3F9B">
        <w:rPr>
          <w:lang w:val="fr-FR"/>
        </w:rPr>
        <w:t>La requérante a été représentée par M</w:t>
      </w:r>
      <w:r w:rsidRPr="00FE3F9B">
        <w:rPr>
          <w:vertAlign w:val="superscript"/>
          <w:lang w:val="fr-FR"/>
        </w:rPr>
        <w:t>es</w:t>
      </w:r>
      <w:r w:rsidRPr="00FE3F9B">
        <w:rPr>
          <w:lang w:val="fr-FR"/>
        </w:rPr>
        <w:t xml:space="preserve"> A.G. Ryzhov et </w:t>
      </w:r>
      <w:r w:rsidRPr="00FE3F9B" w:rsidR="00007194">
        <w:rPr>
          <w:lang w:val="fr-FR"/>
        </w:rPr>
        <w:t>O.A. Sadovskaya</w:t>
      </w:r>
      <w:r w:rsidRPr="00FE3F9B">
        <w:rPr>
          <w:lang w:val="fr-FR"/>
        </w:rPr>
        <w:t xml:space="preserve">, avocats à </w:t>
      </w:r>
      <w:r w:rsidRPr="00FE3F9B" w:rsidR="0093559A">
        <w:rPr>
          <w:lang w:val="fr-FR"/>
        </w:rPr>
        <w:t>Nijni</w:t>
      </w:r>
      <w:r w:rsidRPr="00FE3F9B">
        <w:rPr>
          <w:lang w:val="fr-FR"/>
        </w:rPr>
        <w:t xml:space="preserve"> Novgorod. </w:t>
      </w:r>
      <w:r w:rsidRPr="00FE3F9B" w:rsidR="00510082">
        <w:rPr>
          <w:lang w:val="fr-FR"/>
        </w:rPr>
        <w:t>Le gouvernement russe (« le Gouvernement ») a été représenté initialement par M. G. Matiouchkine, ancien représentant de la Fédération de Russie auprès de la Cour européenne des droits de l</w:t>
      </w:r>
      <w:r w:rsidRPr="00FE3F9B" w:rsidR="00FE3F9B">
        <w:rPr>
          <w:lang w:val="fr-FR"/>
        </w:rPr>
        <w:t>’</w:t>
      </w:r>
      <w:r w:rsidRPr="00FE3F9B" w:rsidR="00510082">
        <w:rPr>
          <w:lang w:val="fr-FR"/>
        </w:rPr>
        <w:t xml:space="preserve">homme, </w:t>
      </w:r>
      <w:r w:rsidRPr="00FE3F9B" w:rsidR="00C21420">
        <w:rPr>
          <w:lang w:val="fr-FR"/>
        </w:rPr>
        <w:t>puis par le successeur de celui-ci</w:t>
      </w:r>
      <w:r w:rsidRPr="00FE3F9B" w:rsidR="00510082">
        <w:rPr>
          <w:lang w:val="fr-FR"/>
        </w:rPr>
        <w:t>, M. M. Galperine.</w:t>
      </w:r>
    </w:p>
    <w:p w:rsidRPr="00FE3F9B" w:rsidR="00E77CB3" w:rsidP="00FE3F9B" w:rsidRDefault="00584D9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3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La requérante all</w:t>
      </w:r>
      <w:r w:rsidRPr="00FE3F9B" w:rsidR="00A47854">
        <w:rPr>
          <w:lang w:val="fr-FR"/>
        </w:rPr>
        <w:t>é</w:t>
      </w:r>
      <w:r w:rsidRPr="00FE3F9B">
        <w:rPr>
          <w:lang w:val="fr-FR"/>
        </w:rPr>
        <w:t>gu</w:t>
      </w:r>
      <w:r w:rsidRPr="00FE3F9B" w:rsidR="00A47854">
        <w:rPr>
          <w:lang w:val="fr-FR"/>
        </w:rPr>
        <w:t>ait</w:t>
      </w:r>
      <w:r w:rsidRPr="00FE3F9B" w:rsidR="00007194">
        <w:rPr>
          <w:lang w:val="fr-FR"/>
        </w:rPr>
        <w:t xml:space="preserve"> avoir été soumise</w:t>
      </w:r>
      <w:r w:rsidRPr="00FE3F9B" w:rsidR="00A47854">
        <w:rPr>
          <w:lang w:val="fr-FR"/>
        </w:rPr>
        <w:t>, entre les mains de la police,</w:t>
      </w:r>
      <w:r w:rsidRPr="00FE3F9B" w:rsidR="00007194">
        <w:rPr>
          <w:lang w:val="fr-FR"/>
        </w:rPr>
        <w:t xml:space="preserve"> à des traitements contraires à l</w:t>
      </w:r>
      <w:r w:rsidRPr="00FE3F9B" w:rsidR="00FE3F9B">
        <w:rPr>
          <w:lang w:val="fr-FR"/>
        </w:rPr>
        <w:t>’</w:t>
      </w:r>
      <w:r w:rsidRPr="00FE3F9B" w:rsidR="00007194">
        <w:rPr>
          <w:lang w:val="fr-FR"/>
        </w:rPr>
        <w:t>article 3 de la Convention</w:t>
      </w:r>
      <w:r w:rsidRPr="00FE3F9B">
        <w:rPr>
          <w:lang w:val="fr-FR"/>
        </w:rPr>
        <w:t>.</w:t>
      </w:r>
    </w:p>
    <w:p w:rsidRPr="00FE3F9B" w:rsidR="00E77CB3" w:rsidP="00FE3F9B" w:rsidRDefault="00584D97">
      <w:pPr>
        <w:pStyle w:val="ECHRPara"/>
        <w:rPr>
          <w:szCs w:val="24"/>
          <w:lang w:val="fr-FR" w:eastAsia="en-GB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4</w:t>
      </w:r>
      <w:r w:rsidRPr="00FE3F9B">
        <w:rPr>
          <w:lang w:val="fr-FR"/>
        </w:rPr>
        <w:fldChar w:fldCharType="end"/>
      </w:r>
      <w:r w:rsidRPr="00FE3F9B" w:rsidR="00E77CB3">
        <w:rPr>
          <w:lang w:val="fr-FR"/>
        </w:rPr>
        <w:t>.  </w:t>
      </w:r>
      <w:r w:rsidRPr="00FE3F9B">
        <w:rPr>
          <w:lang w:val="fr-FR"/>
        </w:rPr>
        <w:t xml:space="preserve">Le </w:t>
      </w:r>
      <w:r w:rsidRPr="00FE3F9B">
        <w:rPr>
          <w:szCs w:val="24"/>
          <w:lang w:val="fr-FR"/>
        </w:rPr>
        <w:t>21 octobre 2014</w:t>
      </w:r>
      <w:r w:rsidRPr="00FE3F9B" w:rsidR="00E77CB3">
        <w:rPr>
          <w:lang w:val="fr-FR"/>
        </w:rPr>
        <w:t xml:space="preserve">, </w:t>
      </w:r>
      <w:r w:rsidRPr="00FE3F9B">
        <w:rPr>
          <w:lang w:val="fr-FR"/>
        </w:rPr>
        <w:t>la requête a été communiquée au Gouvernement</w:t>
      </w:r>
      <w:r w:rsidRPr="00FE3F9B" w:rsidR="00646454">
        <w:rPr>
          <w:lang w:val="fr-FR"/>
        </w:rPr>
        <w:t>.</w:t>
      </w:r>
    </w:p>
    <w:p w:rsidRPr="00FE3F9B" w:rsidR="00E77CB3" w:rsidP="00FE3F9B" w:rsidRDefault="00E77CB3">
      <w:pPr>
        <w:pStyle w:val="ECHRTitle1"/>
        <w:tabs>
          <w:tab w:val="left" w:pos="5387"/>
        </w:tabs>
        <w:rPr>
          <w:lang w:val="fr-FR"/>
        </w:rPr>
      </w:pPr>
      <w:r w:rsidRPr="00FE3F9B">
        <w:rPr>
          <w:lang w:val="fr-FR"/>
        </w:rPr>
        <w:t>EN FAIT</w:t>
      </w:r>
    </w:p>
    <w:p w:rsidRPr="00FE3F9B" w:rsidR="00E77CB3" w:rsidP="00FE3F9B" w:rsidRDefault="00E77CB3">
      <w:pPr>
        <w:pStyle w:val="ECHRHeading1"/>
        <w:rPr>
          <w:lang w:val="fr-FR"/>
        </w:rPr>
      </w:pPr>
      <w:r w:rsidRPr="00FE3F9B">
        <w:rPr>
          <w:lang w:val="fr-FR"/>
        </w:rPr>
        <w:t>I.  LES CIRCONSTANCES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ESPÈCE</w:t>
      </w:r>
    </w:p>
    <w:p w:rsidRPr="00FE3F9B" w:rsidR="00E77CB3" w:rsidP="00FE3F9B" w:rsidRDefault="00584D9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5</w:t>
      </w:r>
      <w:r w:rsidRPr="00FE3F9B">
        <w:rPr>
          <w:lang w:val="fr-FR"/>
        </w:rPr>
        <w:fldChar w:fldCharType="end"/>
      </w:r>
      <w:r w:rsidRPr="00FE3F9B" w:rsidR="00E77CB3">
        <w:rPr>
          <w:lang w:val="fr-FR"/>
        </w:rPr>
        <w:t>.  </w:t>
      </w:r>
      <w:r w:rsidRPr="00FE3F9B">
        <w:rPr>
          <w:lang w:val="fr-FR"/>
        </w:rPr>
        <w:t xml:space="preserve">La requérante est née en 1961 et réside à </w:t>
      </w:r>
      <w:r w:rsidRPr="00FE3F9B" w:rsidR="0093559A">
        <w:rPr>
          <w:lang w:val="fr-FR"/>
        </w:rPr>
        <w:t>Nijni</w:t>
      </w:r>
      <w:r w:rsidRPr="00FE3F9B">
        <w:rPr>
          <w:lang w:val="fr-FR"/>
        </w:rPr>
        <w:t xml:space="preserve"> Novgorod</w:t>
      </w:r>
      <w:r w:rsidRPr="00FE3F9B" w:rsidR="00E77CB3">
        <w:rPr>
          <w:lang w:val="fr-FR"/>
        </w:rPr>
        <w:t>.</w:t>
      </w:r>
    </w:p>
    <w:p w:rsidRPr="00FE3F9B" w:rsidR="00E77CB3" w:rsidP="00FE3F9B" w:rsidRDefault="00533931">
      <w:pPr>
        <w:pStyle w:val="ECHRHeading2"/>
        <w:rPr>
          <w:lang w:val="fr-FR"/>
        </w:rPr>
      </w:pPr>
      <w:r w:rsidRPr="00FE3F9B">
        <w:rPr>
          <w:lang w:val="fr-FR"/>
        </w:rPr>
        <w:t>A</w:t>
      </w:r>
      <w:r w:rsidRPr="00FE3F9B" w:rsidR="006339F7">
        <w:rPr>
          <w:lang w:val="fr-FR"/>
        </w:rPr>
        <w:t>.  Les allégations de mauvais traitements</w:t>
      </w:r>
    </w:p>
    <w:p w:rsidRPr="00FE3F9B" w:rsidR="009F1BA8" w:rsidP="00FE3F9B" w:rsidRDefault="006339F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6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Le 6 novembre 2001, deux policiers</w:t>
      </w:r>
      <w:r w:rsidRPr="00FE3F9B" w:rsidR="00E77598">
        <w:rPr>
          <w:lang w:val="fr-FR"/>
        </w:rPr>
        <w:t>,</w:t>
      </w:r>
      <w:r w:rsidRPr="00FE3F9B">
        <w:rPr>
          <w:lang w:val="fr-FR"/>
        </w:rPr>
        <w:t xml:space="preserve"> P. et T., </w:t>
      </w:r>
      <w:r w:rsidRPr="00FE3F9B" w:rsidR="004D7D09">
        <w:rPr>
          <w:lang w:val="fr-FR"/>
        </w:rPr>
        <w:t xml:space="preserve">habillés en civil, </w:t>
      </w:r>
      <w:r w:rsidRPr="00FE3F9B">
        <w:rPr>
          <w:lang w:val="fr-FR"/>
        </w:rPr>
        <w:t xml:space="preserve">se rendirent </w:t>
      </w:r>
      <w:r w:rsidRPr="00FE3F9B" w:rsidR="005F240F">
        <w:rPr>
          <w:lang w:val="fr-FR"/>
        </w:rPr>
        <w:t>au domicile</w:t>
      </w:r>
      <w:r w:rsidRPr="00FE3F9B">
        <w:rPr>
          <w:lang w:val="fr-FR"/>
        </w:rPr>
        <w:t xml:space="preserve"> de la sœur de la requérante</w:t>
      </w:r>
      <w:r w:rsidRPr="00FE3F9B" w:rsidR="0076170E">
        <w:rPr>
          <w:lang w:val="fr-FR"/>
        </w:rPr>
        <w:t xml:space="preserve">, R., </w:t>
      </w:r>
      <w:r w:rsidRPr="00FE3F9B" w:rsidR="009C3235">
        <w:rPr>
          <w:lang w:val="fr-FR"/>
        </w:rPr>
        <w:t>afin de retrouver O., le fils a</w:t>
      </w:r>
      <w:r w:rsidRPr="00FE3F9B" w:rsidR="005F240F">
        <w:rPr>
          <w:lang w:val="fr-FR"/>
        </w:rPr>
        <w:t>î</w:t>
      </w:r>
      <w:r w:rsidRPr="00FE3F9B" w:rsidR="009C3235">
        <w:rPr>
          <w:lang w:val="fr-FR"/>
        </w:rPr>
        <w:t xml:space="preserve">né </w:t>
      </w:r>
      <w:r w:rsidRPr="00FE3F9B" w:rsidR="0076170E">
        <w:rPr>
          <w:lang w:val="fr-FR"/>
        </w:rPr>
        <w:t>de cette dernière</w:t>
      </w:r>
      <w:r w:rsidRPr="00FE3F9B" w:rsidR="009C3235">
        <w:rPr>
          <w:lang w:val="fr-FR"/>
        </w:rPr>
        <w:t xml:space="preserve">, </w:t>
      </w:r>
      <w:r w:rsidRPr="00FE3F9B" w:rsidR="00B74FED">
        <w:rPr>
          <w:lang w:val="fr-FR"/>
        </w:rPr>
        <w:t xml:space="preserve">au motif que </w:t>
      </w:r>
      <w:r w:rsidRPr="00FE3F9B" w:rsidR="005F240F">
        <w:rPr>
          <w:lang w:val="fr-FR"/>
        </w:rPr>
        <w:t>celui-ci</w:t>
      </w:r>
      <w:r w:rsidRPr="00FE3F9B" w:rsidR="009C3235">
        <w:rPr>
          <w:lang w:val="fr-FR"/>
        </w:rPr>
        <w:t xml:space="preserve"> </w:t>
      </w:r>
      <w:r w:rsidRPr="00FE3F9B" w:rsidR="005F240F">
        <w:rPr>
          <w:lang w:val="fr-FR"/>
        </w:rPr>
        <w:t>était soupçonné</w:t>
      </w:r>
      <w:r w:rsidRPr="00FE3F9B" w:rsidR="009C3235">
        <w:rPr>
          <w:lang w:val="fr-FR"/>
        </w:rPr>
        <w:t xml:space="preserve"> d</w:t>
      </w:r>
      <w:r w:rsidRPr="00FE3F9B" w:rsidR="00FE3F9B">
        <w:rPr>
          <w:lang w:val="fr-FR"/>
        </w:rPr>
        <w:t>’</w:t>
      </w:r>
      <w:r w:rsidRPr="00FE3F9B" w:rsidR="00986002">
        <w:rPr>
          <w:lang w:val="fr-FR"/>
        </w:rPr>
        <w:t xml:space="preserve">avoir commis </w:t>
      </w:r>
      <w:r w:rsidRPr="00FE3F9B" w:rsidR="009C3235">
        <w:rPr>
          <w:lang w:val="fr-FR"/>
        </w:rPr>
        <w:t>une infraction</w:t>
      </w:r>
      <w:r w:rsidRPr="00FE3F9B" w:rsidR="009F1BA8">
        <w:rPr>
          <w:lang w:val="fr-FR"/>
        </w:rPr>
        <w:t>. Au moment de la visite</w:t>
      </w:r>
      <w:r w:rsidRPr="00FE3F9B" w:rsidR="009C3235">
        <w:rPr>
          <w:lang w:val="fr-FR"/>
        </w:rPr>
        <w:t xml:space="preserve"> de P. et T.,</w:t>
      </w:r>
      <w:r w:rsidRPr="00FE3F9B" w:rsidR="009F1BA8">
        <w:rPr>
          <w:lang w:val="fr-FR"/>
        </w:rPr>
        <w:t xml:space="preserve"> </w:t>
      </w:r>
      <w:r w:rsidRPr="00FE3F9B" w:rsidR="007C4CB0">
        <w:rPr>
          <w:lang w:val="fr-FR"/>
        </w:rPr>
        <w:t>quatre</w:t>
      </w:r>
      <w:r w:rsidRPr="00FE3F9B" w:rsidR="00AE2C12">
        <w:rPr>
          <w:lang w:val="fr-FR"/>
        </w:rPr>
        <w:t xml:space="preserve"> personnes se trouvaient </w:t>
      </w:r>
      <w:r w:rsidRPr="00FE3F9B" w:rsidR="00F52190">
        <w:rPr>
          <w:lang w:val="fr-FR"/>
        </w:rPr>
        <w:t>au</w:t>
      </w:r>
      <w:r w:rsidRPr="00FE3F9B" w:rsidR="005F240F">
        <w:rPr>
          <w:lang w:val="fr-FR"/>
        </w:rPr>
        <w:t>dit domicile</w:t>
      </w:r>
      <w:r w:rsidRPr="00FE3F9B" w:rsidR="00AE2C12">
        <w:rPr>
          <w:lang w:val="fr-FR"/>
        </w:rPr>
        <w:t xml:space="preserve"> : </w:t>
      </w:r>
      <w:r w:rsidRPr="00FE3F9B" w:rsidR="007C4CB0">
        <w:rPr>
          <w:lang w:val="fr-FR"/>
        </w:rPr>
        <w:t>R., la sœur de la requérante</w:t>
      </w:r>
      <w:r w:rsidRPr="00FE3F9B" w:rsidR="005F240F">
        <w:rPr>
          <w:lang w:val="fr-FR"/>
        </w:rPr>
        <w:t> ;</w:t>
      </w:r>
      <w:r w:rsidRPr="00FE3F9B" w:rsidR="007C4CB0">
        <w:rPr>
          <w:lang w:val="fr-FR"/>
        </w:rPr>
        <w:t xml:space="preserve"> </w:t>
      </w:r>
      <w:r w:rsidRPr="00FE3F9B" w:rsidR="00AE2C12">
        <w:rPr>
          <w:lang w:val="fr-FR"/>
        </w:rPr>
        <w:t>L., le fils cadet de R.</w:t>
      </w:r>
      <w:r w:rsidRPr="00FE3F9B" w:rsidR="005F240F">
        <w:rPr>
          <w:lang w:val="fr-FR"/>
        </w:rPr>
        <w:t> ;</w:t>
      </w:r>
      <w:r w:rsidRPr="00FE3F9B" w:rsidR="00AE2C12">
        <w:rPr>
          <w:lang w:val="fr-FR"/>
        </w:rPr>
        <w:t xml:space="preserve"> F., le compagnon de R.</w:t>
      </w:r>
      <w:r w:rsidRPr="00FE3F9B" w:rsidR="005F240F">
        <w:rPr>
          <w:lang w:val="fr-FR"/>
        </w:rPr>
        <w:t xml:space="preserve"> ; </w:t>
      </w:r>
      <w:r w:rsidRPr="00FE3F9B" w:rsidR="00AE2C12">
        <w:rPr>
          <w:lang w:val="fr-FR"/>
        </w:rPr>
        <w:t>et la requérante.</w:t>
      </w:r>
    </w:p>
    <w:p w:rsidRPr="00FE3F9B" w:rsidR="00953EE7" w:rsidP="00FE3F9B" w:rsidRDefault="00533931">
      <w:pPr>
        <w:pStyle w:val="ECHRHeading3"/>
        <w:rPr>
          <w:lang w:val="fr-FR"/>
        </w:rPr>
      </w:pPr>
      <w:r w:rsidRPr="00FE3F9B">
        <w:rPr>
          <w:lang w:val="fr-FR"/>
        </w:rPr>
        <w:t>1.  </w:t>
      </w:r>
      <w:r w:rsidRPr="00FE3F9B" w:rsidR="009F1BA8">
        <w:rPr>
          <w:lang w:val="fr-FR"/>
        </w:rPr>
        <w:t>La version de la requérante</w:t>
      </w:r>
    </w:p>
    <w:bookmarkStart w:name="versreq1" w:id="2"/>
    <w:p w:rsidRPr="00FE3F9B" w:rsidR="00F52190" w:rsidP="00FE3F9B" w:rsidRDefault="007E52F1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7</w:t>
      </w:r>
      <w:r w:rsidRPr="00FE3F9B">
        <w:rPr>
          <w:lang w:val="fr-FR"/>
        </w:rPr>
        <w:fldChar w:fldCharType="end"/>
      </w:r>
      <w:bookmarkEnd w:id="2"/>
      <w:r w:rsidRPr="00FE3F9B">
        <w:rPr>
          <w:lang w:val="fr-FR"/>
        </w:rPr>
        <w:t>.  </w:t>
      </w:r>
      <w:r w:rsidRPr="00FE3F9B" w:rsidR="00F52190">
        <w:rPr>
          <w:lang w:val="fr-FR"/>
        </w:rPr>
        <w:t>La</w:t>
      </w:r>
      <w:r w:rsidRPr="00FE3F9B" w:rsidR="009F1BA8">
        <w:rPr>
          <w:lang w:val="fr-FR"/>
        </w:rPr>
        <w:t xml:space="preserve"> requérante</w:t>
      </w:r>
      <w:r w:rsidRPr="00FE3F9B" w:rsidR="00F52190">
        <w:rPr>
          <w:lang w:val="fr-FR"/>
        </w:rPr>
        <w:t xml:space="preserve"> expose sa version des faits de la manière suivante.</w:t>
      </w:r>
    </w:p>
    <w:p w:rsidRPr="00FE3F9B" w:rsidR="00953EE7" w:rsidP="00FE3F9B" w:rsidRDefault="00F52190">
      <w:pPr>
        <w:pStyle w:val="ECHRPara"/>
        <w:rPr>
          <w:lang w:val="fr-FR"/>
        </w:rPr>
      </w:pPr>
      <w:r w:rsidRPr="00FE3F9B">
        <w:rPr>
          <w:lang w:val="fr-FR"/>
        </w:rPr>
        <w:t>D</w:t>
      </w:r>
      <w:r w:rsidRPr="00FE3F9B" w:rsidR="00AE2C12">
        <w:rPr>
          <w:lang w:val="fr-FR"/>
        </w:rPr>
        <w:t>eux hommes</w:t>
      </w:r>
      <w:r w:rsidRPr="00FE3F9B">
        <w:rPr>
          <w:lang w:val="fr-FR"/>
        </w:rPr>
        <w:t xml:space="preserve"> étant</w:t>
      </w:r>
      <w:r w:rsidRPr="00FE3F9B" w:rsidR="00AE2C12">
        <w:rPr>
          <w:lang w:val="fr-FR"/>
        </w:rPr>
        <w:t xml:space="preserve"> entr</w:t>
      </w:r>
      <w:r w:rsidRPr="00FE3F9B">
        <w:rPr>
          <w:lang w:val="fr-FR"/>
        </w:rPr>
        <w:t>és</w:t>
      </w:r>
      <w:r w:rsidRPr="00FE3F9B" w:rsidR="009C3235">
        <w:rPr>
          <w:lang w:val="fr-FR"/>
        </w:rPr>
        <w:t xml:space="preserve"> dans le jardin</w:t>
      </w:r>
      <w:r w:rsidRPr="00FE3F9B">
        <w:rPr>
          <w:lang w:val="fr-FR"/>
        </w:rPr>
        <w:t xml:space="preserve">, R. </w:t>
      </w:r>
      <w:r w:rsidRPr="00FE3F9B" w:rsidR="009C3235">
        <w:rPr>
          <w:lang w:val="fr-FR"/>
        </w:rPr>
        <w:t>sorti</w:t>
      </w:r>
      <w:r w:rsidRPr="00FE3F9B">
        <w:rPr>
          <w:lang w:val="fr-FR"/>
        </w:rPr>
        <w:t xml:space="preserve">t </w:t>
      </w:r>
      <w:r w:rsidRPr="00FE3F9B" w:rsidR="009C3235">
        <w:rPr>
          <w:lang w:val="fr-FR"/>
        </w:rPr>
        <w:t xml:space="preserve">pour </w:t>
      </w:r>
      <w:r w:rsidRPr="00FE3F9B">
        <w:rPr>
          <w:lang w:val="fr-FR"/>
        </w:rPr>
        <w:t>aller à leur rencontre</w:t>
      </w:r>
      <w:r w:rsidRPr="00FE3F9B" w:rsidR="009C3235">
        <w:rPr>
          <w:lang w:val="fr-FR"/>
        </w:rPr>
        <w:t xml:space="preserve"> à l</w:t>
      </w:r>
      <w:r w:rsidRPr="00FE3F9B" w:rsidR="00FE3F9B">
        <w:rPr>
          <w:lang w:val="fr-FR"/>
        </w:rPr>
        <w:t>’</w:t>
      </w:r>
      <w:r w:rsidRPr="00FE3F9B" w:rsidR="009C3235">
        <w:rPr>
          <w:lang w:val="fr-FR"/>
        </w:rPr>
        <w:t>entrée de la maison. P</w:t>
      </w:r>
      <w:r w:rsidRPr="00FE3F9B" w:rsidR="00B7393C">
        <w:rPr>
          <w:lang w:val="fr-FR"/>
        </w:rPr>
        <w:t xml:space="preserve">eu après, </w:t>
      </w:r>
      <w:r w:rsidRPr="00FE3F9B">
        <w:rPr>
          <w:lang w:val="fr-FR"/>
        </w:rPr>
        <w:t xml:space="preserve">elle </w:t>
      </w:r>
      <w:r w:rsidRPr="00FE3F9B" w:rsidR="00B7393C">
        <w:rPr>
          <w:lang w:val="fr-FR"/>
        </w:rPr>
        <w:t>appel</w:t>
      </w:r>
      <w:r w:rsidRPr="00FE3F9B">
        <w:rPr>
          <w:lang w:val="fr-FR"/>
        </w:rPr>
        <w:t>a</w:t>
      </w:r>
      <w:r w:rsidRPr="00FE3F9B" w:rsidR="00B7393C">
        <w:rPr>
          <w:lang w:val="fr-FR"/>
        </w:rPr>
        <w:t xml:space="preserve"> la requérante et lui </w:t>
      </w:r>
      <w:r w:rsidRPr="00FE3F9B">
        <w:rPr>
          <w:lang w:val="fr-FR"/>
        </w:rPr>
        <w:t>indiqua</w:t>
      </w:r>
      <w:r w:rsidRPr="00FE3F9B" w:rsidR="00B7393C">
        <w:rPr>
          <w:lang w:val="fr-FR"/>
        </w:rPr>
        <w:t xml:space="preserve"> que les deux hommes </w:t>
      </w:r>
      <w:r w:rsidRPr="00FE3F9B" w:rsidR="00986002">
        <w:rPr>
          <w:lang w:val="fr-FR"/>
        </w:rPr>
        <w:t>étai</w:t>
      </w:r>
      <w:r w:rsidRPr="00FE3F9B" w:rsidR="00B7393C">
        <w:rPr>
          <w:lang w:val="fr-FR"/>
        </w:rPr>
        <w:t xml:space="preserve">ent </w:t>
      </w:r>
      <w:r w:rsidRPr="00FE3F9B" w:rsidR="0093559A">
        <w:rPr>
          <w:lang w:val="fr-FR"/>
        </w:rPr>
        <w:t xml:space="preserve">des </w:t>
      </w:r>
      <w:r w:rsidRPr="00FE3F9B" w:rsidR="00B7393C">
        <w:rPr>
          <w:lang w:val="fr-FR"/>
        </w:rPr>
        <w:t>policiers et qu</w:t>
      </w:r>
      <w:r w:rsidRPr="00FE3F9B" w:rsidR="00FE3F9B">
        <w:rPr>
          <w:lang w:val="fr-FR"/>
        </w:rPr>
        <w:t>’</w:t>
      </w:r>
      <w:r w:rsidRPr="00FE3F9B" w:rsidR="00B7393C">
        <w:rPr>
          <w:lang w:val="fr-FR"/>
        </w:rPr>
        <w:t xml:space="preserve">ils cherchaient O. </w:t>
      </w:r>
      <w:r w:rsidRPr="00FE3F9B" w:rsidR="003022CD">
        <w:rPr>
          <w:lang w:val="fr-FR"/>
        </w:rPr>
        <w:t>Sa</w:t>
      </w:r>
      <w:r w:rsidRPr="00FE3F9B" w:rsidR="0049551C">
        <w:rPr>
          <w:lang w:val="fr-FR"/>
        </w:rPr>
        <w:t xml:space="preserve"> </w:t>
      </w:r>
      <w:r w:rsidRPr="00FE3F9B" w:rsidR="00986002">
        <w:rPr>
          <w:lang w:val="fr-FR"/>
        </w:rPr>
        <w:t>sœur</w:t>
      </w:r>
      <w:r w:rsidRPr="00FE3F9B" w:rsidR="0076170E">
        <w:rPr>
          <w:lang w:val="fr-FR"/>
        </w:rPr>
        <w:t xml:space="preserve"> </w:t>
      </w:r>
      <w:r w:rsidRPr="00FE3F9B" w:rsidR="003022CD">
        <w:rPr>
          <w:lang w:val="fr-FR"/>
        </w:rPr>
        <w:t>étant en état d</w:t>
      </w:r>
      <w:r w:rsidRPr="00FE3F9B" w:rsidR="00FE3F9B">
        <w:rPr>
          <w:lang w:val="fr-FR"/>
        </w:rPr>
        <w:t>’</w:t>
      </w:r>
      <w:r w:rsidRPr="00FE3F9B" w:rsidR="003022CD">
        <w:rPr>
          <w:lang w:val="fr-FR"/>
        </w:rPr>
        <w:t xml:space="preserve">ébriété, la requérante lui dit </w:t>
      </w:r>
      <w:r w:rsidRPr="00FE3F9B" w:rsidR="0076170E">
        <w:rPr>
          <w:lang w:val="fr-FR"/>
        </w:rPr>
        <w:t>de rentrer à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intérieur de la </w:t>
      </w:r>
      <w:r w:rsidRPr="00FE3F9B" w:rsidR="0076170E">
        <w:rPr>
          <w:lang w:val="fr-FR"/>
        </w:rPr>
        <w:t>maison. Ensuite, l</w:t>
      </w:r>
      <w:r w:rsidRPr="00FE3F9B" w:rsidR="00B7393C">
        <w:rPr>
          <w:lang w:val="fr-FR"/>
        </w:rPr>
        <w:t>a requérante demand</w:t>
      </w:r>
      <w:r w:rsidRPr="00FE3F9B" w:rsidR="003022CD">
        <w:rPr>
          <w:lang w:val="fr-FR"/>
        </w:rPr>
        <w:t>a</w:t>
      </w:r>
      <w:r w:rsidRPr="00FE3F9B" w:rsidR="00B7393C">
        <w:rPr>
          <w:lang w:val="fr-FR"/>
        </w:rPr>
        <w:t xml:space="preserve"> aux polic</w:t>
      </w:r>
      <w:r w:rsidRPr="00FE3F9B" w:rsidR="0093559A">
        <w:rPr>
          <w:lang w:val="fr-FR"/>
        </w:rPr>
        <w:t>iers de présenter leur</w:t>
      </w:r>
      <w:r w:rsidRPr="00FE3F9B" w:rsidR="00F722E8">
        <w:rPr>
          <w:lang w:val="fr-FR"/>
        </w:rPr>
        <w:t>s</w:t>
      </w:r>
      <w:r w:rsidRPr="00FE3F9B" w:rsidR="0093559A">
        <w:rPr>
          <w:lang w:val="fr-FR"/>
        </w:rPr>
        <w:t xml:space="preserve"> cartes</w:t>
      </w:r>
      <w:r w:rsidRPr="00FE3F9B" w:rsidR="00B7393C">
        <w:rPr>
          <w:lang w:val="fr-FR"/>
        </w:rPr>
        <w:t xml:space="preserve"> professionnelles</w:t>
      </w:r>
      <w:r w:rsidRPr="00FE3F9B" w:rsidR="003022CD">
        <w:rPr>
          <w:lang w:val="fr-FR"/>
        </w:rPr>
        <w:t>,</w:t>
      </w:r>
      <w:r w:rsidRPr="00FE3F9B" w:rsidR="00B7393C">
        <w:rPr>
          <w:lang w:val="fr-FR"/>
        </w:rPr>
        <w:t xml:space="preserve"> ce qu</w:t>
      </w:r>
      <w:r w:rsidRPr="00FE3F9B" w:rsidR="00FE3F9B">
        <w:rPr>
          <w:lang w:val="fr-FR"/>
        </w:rPr>
        <w:t>’</w:t>
      </w:r>
      <w:r w:rsidRPr="00FE3F9B" w:rsidR="00B7393C">
        <w:rPr>
          <w:lang w:val="fr-FR"/>
        </w:rPr>
        <w:t>ils firent.</w:t>
      </w:r>
      <w:r w:rsidRPr="00FE3F9B" w:rsidR="0093559A">
        <w:rPr>
          <w:lang w:val="fr-FR"/>
        </w:rPr>
        <w:t xml:space="preserve"> Ayant été informés par la requérante que O. était absent, les policiers rédig</w:t>
      </w:r>
      <w:r w:rsidRPr="00FE3F9B" w:rsidR="003022CD">
        <w:rPr>
          <w:lang w:val="fr-FR"/>
        </w:rPr>
        <w:t>èrent</w:t>
      </w:r>
      <w:r w:rsidRPr="00FE3F9B" w:rsidR="0093559A">
        <w:rPr>
          <w:lang w:val="fr-FR"/>
        </w:rPr>
        <w:t xml:space="preserve"> sur place une convocation </w:t>
      </w:r>
      <w:r w:rsidRPr="00FE3F9B" w:rsidR="003022CD">
        <w:rPr>
          <w:lang w:val="fr-FR"/>
        </w:rPr>
        <w:t>à</w:t>
      </w:r>
      <w:r w:rsidRPr="00FE3F9B" w:rsidR="0093559A">
        <w:rPr>
          <w:lang w:val="fr-FR"/>
        </w:rPr>
        <w:t xml:space="preserve"> compara</w:t>
      </w:r>
      <w:r w:rsidRPr="00FE3F9B" w:rsidR="003022CD">
        <w:rPr>
          <w:lang w:val="fr-FR"/>
        </w:rPr>
        <w:t>î</w:t>
      </w:r>
      <w:r w:rsidRPr="00FE3F9B" w:rsidR="0093559A">
        <w:rPr>
          <w:lang w:val="fr-FR"/>
        </w:rPr>
        <w:t>tre au commissariat de police adressée à O</w:t>
      </w:r>
      <w:r w:rsidRPr="00FE3F9B" w:rsidR="00B74FED">
        <w:rPr>
          <w:lang w:val="fr-FR"/>
        </w:rPr>
        <w:t>.</w:t>
      </w:r>
      <w:r w:rsidRPr="00FE3F9B" w:rsidR="0093559A">
        <w:rPr>
          <w:lang w:val="fr-FR"/>
        </w:rPr>
        <w:t xml:space="preserve"> et demand</w:t>
      </w:r>
      <w:r w:rsidRPr="00FE3F9B" w:rsidR="003022CD">
        <w:rPr>
          <w:lang w:val="fr-FR"/>
        </w:rPr>
        <w:t>èrent</w:t>
      </w:r>
      <w:r w:rsidRPr="00FE3F9B" w:rsidR="00986002">
        <w:rPr>
          <w:lang w:val="fr-FR"/>
        </w:rPr>
        <w:t xml:space="preserve"> </w:t>
      </w:r>
      <w:r w:rsidRPr="00FE3F9B" w:rsidR="0093559A">
        <w:rPr>
          <w:lang w:val="fr-FR"/>
        </w:rPr>
        <w:t xml:space="preserve">à la requérante de la lui </w:t>
      </w:r>
      <w:r w:rsidRPr="00FE3F9B" w:rsidR="00C45B8B">
        <w:rPr>
          <w:lang w:val="fr-FR"/>
        </w:rPr>
        <w:t>re</w:t>
      </w:r>
      <w:r w:rsidRPr="00FE3F9B" w:rsidR="0093559A">
        <w:rPr>
          <w:lang w:val="fr-FR"/>
        </w:rPr>
        <w:t>mettre. La requérante</w:t>
      </w:r>
      <w:r w:rsidRPr="00FE3F9B" w:rsidR="00B7393C">
        <w:rPr>
          <w:lang w:val="fr-FR"/>
        </w:rPr>
        <w:t xml:space="preserve"> </w:t>
      </w:r>
      <w:r w:rsidRPr="00FE3F9B" w:rsidR="00986002">
        <w:rPr>
          <w:lang w:val="fr-FR"/>
        </w:rPr>
        <w:t>pri</w:t>
      </w:r>
      <w:r w:rsidRPr="00FE3F9B" w:rsidR="003022CD">
        <w:rPr>
          <w:lang w:val="fr-FR"/>
        </w:rPr>
        <w:t>t</w:t>
      </w:r>
      <w:r w:rsidRPr="00FE3F9B" w:rsidR="00986002">
        <w:rPr>
          <w:lang w:val="fr-FR"/>
        </w:rPr>
        <w:t xml:space="preserve"> la convocation et </w:t>
      </w:r>
      <w:r w:rsidRPr="00FE3F9B" w:rsidR="00E77598">
        <w:rPr>
          <w:lang w:val="fr-FR"/>
        </w:rPr>
        <w:t>demand</w:t>
      </w:r>
      <w:r w:rsidRPr="00FE3F9B" w:rsidR="003022CD">
        <w:rPr>
          <w:lang w:val="fr-FR"/>
        </w:rPr>
        <w:t>a</w:t>
      </w:r>
      <w:r w:rsidRPr="00FE3F9B" w:rsidR="00E77598">
        <w:rPr>
          <w:lang w:val="fr-FR"/>
        </w:rPr>
        <w:t xml:space="preserve"> aux policiers de quitter l</w:t>
      </w:r>
      <w:r w:rsidRPr="00FE3F9B" w:rsidR="00986002">
        <w:rPr>
          <w:lang w:val="fr-FR"/>
        </w:rPr>
        <w:t>es lieux. À ce moment, P.</w:t>
      </w:r>
      <w:r w:rsidRPr="00FE3F9B" w:rsidR="00AE2C12">
        <w:rPr>
          <w:lang w:val="fr-FR"/>
        </w:rPr>
        <w:t xml:space="preserve"> insult</w:t>
      </w:r>
      <w:r w:rsidRPr="00FE3F9B" w:rsidR="003022CD">
        <w:rPr>
          <w:lang w:val="fr-FR"/>
        </w:rPr>
        <w:t>a</w:t>
      </w:r>
      <w:r w:rsidRPr="00FE3F9B" w:rsidR="00AE2C12">
        <w:rPr>
          <w:lang w:val="fr-FR"/>
        </w:rPr>
        <w:t xml:space="preserve"> la requérante et </w:t>
      </w:r>
      <w:r w:rsidRPr="00FE3F9B" w:rsidR="009C5516">
        <w:rPr>
          <w:lang w:val="fr-FR"/>
        </w:rPr>
        <w:t xml:space="preserve">la </w:t>
      </w:r>
      <w:r w:rsidRPr="00FE3F9B" w:rsidR="00E77598">
        <w:rPr>
          <w:lang w:val="fr-FR"/>
        </w:rPr>
        <w:t>saisi</w:t>
      </w:r>
      <w:r w:rsidRPr="00FE3F9B" w:rsidR="009C5516">
        <w:rPr>
          <w:lang w:val="fr-FR"/>
        </w:rPr>
        <w:t>t par</w:t>
      </w:r>
      <w:r w:rsidRPr="00FE3F9B" w:rsidR="00E77598">
        <w:rPr>
          <w:lang w:val="fr-FR"/>
        </w:rPr>
        <w:t xml:space="preserve"> </w:t>
      </w:r>
      <w:r w:rsidRPr="00FE3F9B" w:rsidR="00744BDF">
        <w:rPr>
          <w:lang w:val="fr-FR"/>
        </w:rPr>
        <w:t>l</w:t>
      </w:r>
      <w:r w:rsidRPr="00FE3F9B" w:rsidR="00E77598">
        <w:rPr>
          <w:lang w:val="fr-FR"/>
        </w:rPr>
        <w:t>a main</w:t>
      </w:r>
      <w:r w:rsidRPr="00FE3F9B" w:rsidR="00744BDF">
        <w:rPr>
          <w:lang w:val="fr-FR"/>
        </w:rPr>
        <w:t xml:space="preserve"> </w:t>
      </w:r>
      <w:r w:rsidRPr="00FE3F9B" w:rsidR="00E77598">
        <w:rPr>
          <w:lang w:val="fr-FR"/>
        </w:rPr>
        <w:t>pour</w:t>
      </w:r>
      <w:r w:rsidRPr="00FE3F9B" w:rsidR="00744BDF">
        <w:rPr>
          <w:lang w:val="fr-FR"/>
        </w:rPr>
        <w:t xml:space="preserve"> la</w:t>
      </w:r>
      <w:r w:rsidRPr="00FE3F9B" w:rsidR="00E77598">
        <w:rPr>
          <w:lang w:val="fr-FR"/>
        </w:rPr>
        <w:t xml:space="preserve"> tirer en bas de l</w:t>
      </w:r>
      <w:r w:rsidRPr="00FE3F9B" w:rsidR="00FE3F9B">
        <w:rPr>
          <w:lang w:val="fr-FR"/>
        </w:rPr>
        <w:t>’</w:t>
      </w:r>
      <w:r w:rsidRPr="00FE3F9B" w:rsidR="00B7393C">
        <w:rPr>
          <w:lang w:val="fr-FR"/>
        </w:rPr>
        <w:t>escalier d</w:t>
      </w:r>
      <w:r w:rsidRPr="00FE3F9B" w:rsidR="00FE3F9B">
        <w:rPr>
          <w:lang w:val="fr-FR"/>
        </w:rPr>
        <w:t>’</w:t>
      </w:r>
      <w:r w:rsidRPr="00FE3F9B" w:rsidR="00E77598">
        <w:rPr>
          <w:lang w:val="fr-FR"/>
        </w:rPr>
        <w:t xml:space="preserve">entrée. T. </w:t>
      </w:r>
      <w:r w:rsidRPr="00FE3F9B" w:rsidR="009C5516">
        <w:rPr>
          <w:lang w:val="fr-FR"/>
        </w:rPr>
        <w:t>s</w:t>
      </w:r>
      <w:r w:rsidRPr="00FE3F9B" w:rsidR="00FE3F9B">
        <w:rPr>
          <w:lang w:val="fr-FR"/>
        </w:rPr>
        <w:t>’</w:t>
      </w:r>
      <w:r w:rsidRPr="00FE3F9B" w:rsidR="009C5516">
        <w:rPr>
          <w:lang w:val="fr-FR"/>
        </w:rPr>
        <w:t>empara</w:t>
      </w:r>
      <w:r w:rsidRPr="00FE3F9B" w:rsidR="00E77598">
        <w:rPr>
          <w:lang w:val="fr-FR"/>
        </w:rPr>
        <w:t xml:space="preserve"> également </w:t>
      </w:r>
      <w:r w:rsidRPr="00FE3F9B" w:rsidR="009C5516">
        <w:rPr>
          <w:lang w:val="fr-FR"/>
        </w:rPr>
        <w:t>de</w:t>
      </w:r>
      <w:r w:rsidRPr="00FE3F9B" w:rsidR="00E77598">
        <w:rPr>
          <w:lang w:val="fr-FR"/>
        </w:rPr>
        <w:t xml:space="preserve"> la main de la requérante. Les deux policier</w:t>
      </w:r>
      <w:r w:rsidRPr="00FE3F9B" w:rsidR="004D7D09">
        <w:rPr>
          <w:lang w:val="fr-FR"/>
        </w:rPr>
        <w:t>s</w:t>
      </w:r>
      <w:r w:rsidRPr="00FE3F9B" w:rsidR="00E77598">
        <w:rPr>
          <w:lang w:val="fr-FR"/>
        </w:rPr>
        <w:t xml:space="preserve"> </w:t>
      </w:r>
      <w:r w:rsidRPr="00FE3F9B" w:rsidR="00D921D5">
        <w:rPr>
          <w:lang w:val="fr-FR"/>
        </w:rPr>
        <w:t>firent tomber</w:t>
      </w:r>
      <w:r w:rsidRPr="00FE3F9B" w:rsidR="009C5516">
        <w:rPr>
          <w:lang w:val="fr-FR"/>
        </w:rPr>
        <w:t xml:space="preserve"> la requérante</w:t>
      </w:r>
      <w:r w:rsidRPr="00FE3F9B" w:rsidR="00E77598">
        <w:rPr>
          <w:lang w:val="fr-FR"/>
        </w:rPr>
        <w:t xml:space="preserve"> par terre tout en </w:t>
      </w:r>
      <w:r w:rsidRPr="00FE3F9B" w:rsidR="004D7D09">
        <w:rPr>
          <w:lang w:val="fr-FR"/>
        </w:rPr>
        <w:t xml:space="preserve">lui portant des coups. </w:t>
      </w:r>
      <w:r w:rsidRPr="00FE3F9B" w:rsidR="009C5516">
        <w:rPr>
          <w:lang w:val="fr-FR"/>
        </w:rPr>
        <w:t>Au mo</w:t>
      </w:r>
      <w:r w:rsidRPr="00FE3F9B" w:rsidR="00B7393C">
        <w:rPr>
          <w:lang w:val="fr-FR"/>
        </w:rPr>
        <w:t xml:space="preserve">ment de </w:t>
      </w:r>
      <w:r w:rsidRPr="00FE3F9B" w:rsidR="009C5516">
        <w:rPr>
          <w:lang w:val="fr-FR"/>
        </w:rPr>
        <w:t>s</w:t>
      </w:r>
      <w:r w:rsidRPr="00FE3F9B" w:rsidR="00B7393C">
        <w:rPr>
          <w:lang w:val="fr-FR"/>
        </w:rPr>
        <w:t xml:space="preserve">a chute, </w:t>
      </w:r>
      <w:r w:rsidRPr="00FE3F9B" w:rsidR="009C5516">
        <w:rPr>
          <w:lang w:val="fr-FR"/>
        </w:rPr>
        <w:t>c</w:t>
      </w:r>
      <w:r w:rsidRPr="00FE3F9B" w:rsidR="00986002">
        <w:rPr>
          <w:lang w:val="fr-FR"/>
        </w:rPr>
        <w:t>elle</w:t>
      </w:r>
      <w:r w:rsidRPr="00FE3F9B" w:rsidR="009C5516">
        <w:rPr>
          <w:lang w:val="fr-FR"/>
        </w:rPr>
        <w:t>-ci</w:t>
      </w:r>
      <w:r w:rsidRPr="00FE3F9B" w:rsidR="00986002">
        <w:rPr>
          <w:lang w:val="fr-FR"/>
        </w:rPr>
        <w:t xml:space="preserve"> se cogna la tête contre un</w:t>
      </w:r>
      <w:r w:rsidRPr="00FE3F9B" w:rsidR="004D7D09">
        <w:rPr>
          <w:lang w:val="fr-FR"/>
        </w:rPr>
        <w:t xml:space="preserve"> mur de la maison.</w:t>
      </w:r>
    </w:p>
    <w:p w:rsidRPr="00FE3F9B" w:rsidR="00953EE7" w:rsidP="00FE3F9B" w:rsidRDefault="00F2495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8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</w:t>
      </w:r>
      <w:r w:rsidRPr="00FE3F9B" w:rsidR="005E796D">
        <w:rPr>
          <w:lang w:val="fr-FR"/>
        </w:rPr>
        <w:t xml:space="preserve">Ayant été </w:t>
      </w:r>
      <w:r w:rsidRPr="00FE3F9B" w:rsidR="004D7D09">
        <w:rPr>
          <w:lang w:val="fr-FR"/>
        </w:rPr>
        <w:t>appel</w:t>
      </w:r>
      <w:r w:rsidRPr="00FE3F9B" w:rsidR="005E796D">
        <w:rPr>
          <w:lang w:val="fr-FR"/>
        </w:rPr>
        <w:t>é</w:t>
      </w:r>
      <w:r w:rsidRPr="00FE3F9B" w:rsidR="004D7D09">
        <w:rPr>
          <w:lang w:val="fr-FR"/>
        </w:rPr>
        <w:t xml:space="preserve"> </w:t>
      </w:r>
      <w:r w:rsidRPr="00FE3F9B" w:rsidR="005E796D">
        <w:rPr>
          <w:lang w:val="fr-FR"/>
        </w:rPr>
        <w:t xml:space="preserve">par R., sa compagne, </w:t>
      </w:r>
      <w:r w:rsidRPr="00FE3F9B" w:rsidR="004D7D09">
        <w:rPr>
          <w:lang w:val="fr-FR"/>
        </w:rPr>
        <w:t>F.</w:t>
      </w:r>
      <w:r w:rsidRPr="00FE3F9B" w:rsidR="00D921D5">
        <w:rPr>
          <w:lang w:val="fr-FR"/>
        </w:rPr>
        <w:t>,</w:t>
      </w:r>
      <w:r w:rsidRPr="00FE3F9B" w:rsidR="004D7D09">
        <w:rPr>
          <w:lang w:val="fr-FR"/>
        </w:rPr>
        <w:t xml:space="preserve"> qui se trouvait </w:t>
      </w:r>
      <w:r w:rsidRPr="00FE3F9B" w:rsidR="005E796D">
        <w:rPr>
          <w:lang w:val="fr-FR"/>
        </w:rPr>
        <w:t xml:space="preserve">jusque-là </w:t>
      </w:r>
      <w:r w:rsidRPr="00FE3F9B" w:rsidR="004D7D09">
        <w:rPr>
          <w:lang w:val="fr-FR"/>
        </w:rPr>
        <w:t>à l</w:t>
      </w:r>
      <w:r w:rsidRPr="00FE3F9B" w:rsidR="00FE3F9B">
        <w:rPr>
          <w:lang w:val="fr-FR"/>
        </w:rPr>
        <w:t>’</w:t>
      </w:r>
      <w:r w:rsidRPr="00FE3F9B" w:rsidR="004D7D09">
        <w:rPr>
          <w:lang w:val="fr-FR"/>
        </w:rPr>
        <w:t>intérieur de la maison</w:t>
      </w:r>
      <w:r w:rsidRPr="00FE3F9B" w:rsidR="005E796D">
        <w:rPr>
          <w:lang w:val="fr-FR"/>
        </w:rPr>
        <w:t xml:space="preserve">, </w:t>
      </w:r>
      <w:r w:rsidRPr="00FE3F9B" w:rsidR="00D921D5">
        <w:rPr>
          <w:lang w:val="fr-FR"/>
        </w:rPr>
        <w:t>accourut</w:t>
      </w:r>
      <w:r w:rsidRPr="00FE3F9B" w:rsidR="004D7D09">
        <w:rPr>
          <w:lang w:val="fr-FR"/>
        </w:rPr>
        <w:t xml:space="preserve"> à l</w:t>
      </w:r>
      <w:r w:rsidRPr="00FE3F9B" w:rsidR="00FE3F9B">
        <w:rPr>
          <w:lang w:val="fr-FR"/>
        </w:rPr>
        <w:t>’</w:t>
      </w:r>
      <w:r w:rsidRPr="00FE3F9B" w:rsidR="004D7D09">
        <w:rPr>
          <w:lang w:val="fr-FR"/>
        </w:rPr>
        <w:t xml:space="preserve">extérieur. </w:t>
      </w:r>
      <w:r w:rsidRPr="00FE3F9B" w:rsidR="00B7393C">
        <w:rPr>
          <w:lang w:val="fr-FR"/>
        </w:rPr>
        <w:t>Interrogé</w:t>
      </w:r>
      <w:r w:rsidRPr="00FE3F9B" w:rsidR="00D921D5">
        <w:rPr>
          <w:lang w:val="fr-FR"/>
        </w:rPr>
        <w:t>s</w:t>
      </w:r>
      <w:r w:rsidRPr="00FE3F9B" w:rsidR="00986002">
        <w:rPr>
          <w:lang w:val="fr-FR"/>
        </w:rPr>
        <w:t xml:space="preserve"> par </w:t>
      </w:r>
      <w:r w:rsidRPr="00FE3F9B" w:rsidR="005E796D">
        <w:rPr>
          <w:lang w:val="fr-FR"/>
        </w:rPr>
        <w:t>celui-ci</w:t>
      </w:r>
      <w:r w:rsidRPr="00FE3F9B" w:rsidR="00986002">
        <w:rPr>
          <w:lang w:val="fr-FR"/>
        </w:rPr>
        <w:t xml:space="preserve"> sur les raisons de leur</w:t>
      </w:r>
      <w:r w:rsidRPr="00FE3F9B" w:rsidR="00B7393C">
        <w:rPr>
          <w:lang w:val="fr-FR"/>
        </w:rPr>
        <w:t xml:space="preserve"> </w:t>
      </w:r>
      <w:r w:rsidRPr="00FE3F9B" w:rsidR="00986002">
        <w:rPr>
          <w:lang w:val="fr-FR"/>
        </w:rPr>
        <w:t>présence</w:t>
      </w:r>
      <w:r w:rsidRPr="00FE3F9B" w:rsidR="00B7393C">
        <w:rPr>
          <w:lang w:val="fr-FR"/>
        </w:rPr>
        <w:t>, P. et T. répond</w:t>
      </w:r>
      <w:r w:rsidRPr="00FE3F9B" w:rsidR="00D921D5">
        <w:rPr>
          <w:lang w:val="fr-FR"/>
        </w:rPr>
        <w:t>irent</w:t>
      </w:r>
      <w:r w:rsidRPr="00FE3F9B" w:rsidR="00B7393C">
        <w:rPr>
          <w:lang w:val="fr-FR"/>
        </w:rPr>
        <w:t xml:space="preserve"> que </w:t>
      </w:r>
      <w:r w:rsidRPr="00FE3F9B" w:rsidR="00D921D5">
        <w:rPr>
          <w:lang w:val="fr-FR"/>
        </w:rPr>
        <w:t>cela</w:t>
      </w:r>
      <w:r w:rsidRPr="00FE3F9B" w:rsidR="00B7393C">
        <w:rPr>
          <w:lang w:val="fr-FR"/>
        </w:rPr>
        <w:t xml:space="preserve"> ne le </w:t>
      </w:r>
      <w:r w:rsidRPr="00FE3F9B" w:rsidR="005E796D">
        <w:rPr>
          <w:lang w:val="fr-FR"/>
        </w:rPr>
        <w:t>concernait</w:t>
      </w:r>
      <w:r w:rsidRPr="00FE3F9B" w:rsidR="00B7393C">
        <w:rPr>
          <w:lang w:val="fr-FR"/>
        </w:rPr>
        <w:t xml:space="preserve"> pas. </w:t>
      </w:r>
      <w:r w:rsidRPr="00FE3F9B" w:rsidR="00D921D5">
        <w:rPr>
          <w:lang w:val="fr-FR"/>
        </w:rPr>
        <w:t xml:space="preserve">F. </w:t>
      </w:r>
      <w:r w:rsidRPr="00FE3F9B" w:rsidR="004D7D09">
        <w:rPr>
          <w:lang w:val="fr-FR"/>
        </w:rPr>
        <w:t>pouss</w:t>
      </w:r>
      <w:r w:rsidRPr="00FE3F9B" w:rsidR="00D921D5">
        <w:rPr>
          <w:lang w:val="fr-FR"/>
        </w:rPr>
        <w:t>a</w:t>
      </w:r>
      <w:r w:rsidRPr="00FE3F9B" w:rsidR="004D7D09">
        <w:rPr>
          <w:lang w:val="fr-FR"/>
        </w:rPr>
        <w:t xml:space="preserve"> </w:t>
      </w:r>
      <w:r w:rsidRPr="00FE3F9B" w:rsidR="005E796D">
        <w:rPr>
          <w:lang w:val="fr-FR"/>
        </w:rPr>
        <w:t xml:space="preserve">alors </w:t>
      </w:r>
      <w:r w:rsidRPr="00FE3F9B" w:rsidR="00BB7920">
        <w:rPr>
          <w:lang w:val="fr-FR"/>
        </w:rPr>
        <w:t>T.</w:t>
      </w:r>
      <w:r w:rsidRPr="00FE3F9B" w:rsidR="005E796D">
        <w:rPr>
          <w:lang w:val="fr-FR"/>
        </w:rPr>
        <w:t>, à la suite de quoi</w:t>
      </w:r>
      <w:r w:rsidRPr="00FE3F9B" w:rsidR="00C45B8B">
        <w:rPr>
          <w:lang w:val="fr-FR"/>
        </w:rPr>
        <w:t xml:space="preserve"> </w:t>
      </w:r>
      <w:r w:rsidRPr="00FE3F9B" w:rsidR="00BB7920">
        <w:rPr>
          <w:lang w:val="fr-FR"/>
        </w:rPr>
        <w:t>les deux policiers</w:t>
      </w:r>
      <w:r w:rsidRPr="00FE3F9B" w:rsidR="008962E5">
        <w:rPr>
          <w:lang w:val="fr-FR"/>
        </w:rPr>
        <w:t xml:space="preserve"> l</w:t>
      </w:r>
      <w:r w:rsidRPr="00FE3F9B" w:rsidR="00D921D5">
        <w:rPr>
          <w:lang w:val="fr-FR"/>
        </w:rPr>
        <w:t>e</w:t>
      </w:r>
      <w:r w:rsidRPr="00FE3F9B" w:rsidR="008962E5">
        <w:rPr>
          <w:lang w:val="fr-FR"/>
        </w:rPr>
        <w:t xml:space="preserve"> jet</w:t>
      </w:r>
      <w:r w:rsidRPr="00FE3F9B" w:rsidR="00D921D5">
        <w:rPr>
          <w:lang w:val="fr-FR"/>
        </w:rPr>
        <w:t>èrent</w:t>
      </w:r>
      <w:r w:rsidRPr="00FE3F9B" w:rsidR="00C45B8B">
        <w:rPr>
          <w:lang w:val="fr-FR"/>
        </w:rPr>
        <w:t xml:space="preserve"> </w:t>
      </w:r>
      <w:r w:rsidRPr="00FE3F9B" w:rsidR="008962E5">
        <w:rPr>
          <w:lang w:val="fr-FR"/>
        </w:rPr>
        <w:t>par terre en lui portant des coups</w:t>
      </w:r>
      <w:r w:rsidRPr="00FE3F9B" w:rsidR="00C45B8B">
        <w:rPr>
          <w:lang w:val="fr-FR"/>
        </w:rPr>
        <w:t>,</w:t>
      </w:r>
      <w:r w:rsidRPr="00FE3F9B" w:rsidR="008962E5">
        <w:rPr>
          <w:lang w:val="fr-FR"/>
        </w:rPr>
        <w:t xml:space="preserve"> </w:t>
      </w:r>
      <w:r w:rsidRPr="00FE3F9B" w:rsidR="007E52F1">
        <w:rPr>
          <w:lang w:val="fr-FR"/>
        </w:rPr>
        <w:t>puis</w:t>
      </w:r>
      <w:r w:rsidRPr="00FE3F9B" w:rsidR="008962E5">
        <w:rPr>
          <w:lang w:val="fr-FR"/>
        </w:rPr>
        <w:t xml:space="preserve"> le menottèrent. Pendant ce temps, la requérante </w:t>
      </w:r>
      <w:r w:rsidRPr="00FE3F9B" w:rsidR="00C45B8B">
        <w:rPr>
          <w:lang w:val="fr-FR"/>
        </w:rPr>
        <w:t>se rendit</w:t>
      </w:r>
      <w:r w:rsidRPr="00FE3F9B" w:rsidR="008962E5">
        <w:rPr>
          <w:lang w:val="fr-FR"/>
        </w:rPr>
        <w:t xml:space="preserve"> dans la maison d</w:t>
      </w:r>
      <w:r w:rsidRPr="00FE3F9B" w:rsidR="00FE3F9B">
        <w:rPr>
          <w:lang w:val="fr-FR"/>
        </w:rPr>
        <w:t>’</w:t>
      </w:r>
      <w:r w:rsidRPr="00FE3F9B" w:rsidR="00986002">
        <w:rPr>
          <w:lang w:val="fr-FR"/>
        </w:rPr>
        <w:t>une</w:t>
      </w:r>
      <w:r w:rsidRPr="00FE3F9B" w:rsidR="008962E5">
        <w:rPr>
          <w:lang w:val="fr-FR"/>
        </w:rPr>
        <w:t xml:space="preserve"> voisine pour téléphoner à la police.</w:t>
      </w:r>
    </w:p>
    <w:bookmarkStart w:name="versreq2" w:id="3"/>
    <w:p w:rsidRPr="00FE3F9B" w:rsidR="00953EE7" w:rsidP="00FE3F9B" w:rsidRDefault="00F2495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9</w:t>
      </w:r>
      <w:r w:rsidRPr="00FE3F9B">
        <w:rPr>
          <w:lang w:val="fr-FR"/>
        </w:rPr>
        <w:fldChar w:fldCharType="end"/>
      </w:r>
      <w:bookmarkEnd w:id="3"/>
      <w:r w:rsidRPr="00FE3F9B">
        <w:rPr>
          <w:lang w:val="fr-FR"/>
        </w:rPr>
        <w:t xml:space="preserve">.  Après avoir menotté F., </w:t>
      </w:r>
      <w:r w:rsidRPr="00FE3F9B" w:rsidR="008962E5">
        <w:rPr>
          <w:lang w:val="fr-FR"/>
        </w:rPr>
        <w:t xml:space="preserve">P. et T. </w:t>
      </w:r>
      <w:r w:rsidRPr="00FE3F9B" w:rsidR="00C45B8B">
        <w:rPr>
          <w:lang w:val="fr-FR"/>
        </w:rPr>
        <w:t>quittèrent</w:t>
      </w:r>
      <w:r w:rsidRPr="00FE3F9B">
        <w:rPr>
          <w:lang w:val="fr-FR"/>
        </w:rPr>
        <w:t xml:space="preserve"> </w:t>
      </w:r>
      <w:r w:rsidRPr="00FE3F9B" w:rsidR="00C45B8B">
        <w:rPr>
          <w:lang w:val="fr-FR"/>
        </w:rPr>
        <w:t>les lieux</w:t>
      </w:r>
      <w:r w:rsidRPr="00FE3F9B">
        <w:rPr>
          <w:lang w:val="fr-FR"/>
        </w:rPr>
        <w:t xml:space="preserve"> pour </w:t>
      </w:r>
      <w:r w:rsidRPr="00FE3F9B" w:rsidR="00C45B8B">
        <w:rPr>
          <w:lang w:val="fr-FR"/>
        </w:rPr>
        <w:t>conduire ce dernier</w:t>
      </w:r>
      <w:r w:rsidRPr="00FE3F9B">
        <w:rPr>
          <w:lang w:val="fr-FR"/>
        </w:rPr>
        <w:t xml:space="preserve"> </w:t>
      </w:r>
      <w:r w:rsidRPr="00FE3F9B" w:rsidR="007E52F1">
        <w:rPr>
          <w:lang w:val="fr-FR"/>
        </w:rPr>
        <w:t>au commissariat de police</w:t>
      </w:r>
      <w:r w:rsidRPr="00FE3F9B" w:rsidR="005E796D">
        <w:rPr>
          <w:lang w:val="fr-FR"/>
        </w:rPr>
        <w:t xml:space="preserve">, sans procéder </w:t>
      </w:r>
      <w:r w:rsidRPr="00FE3F9B" w:rsidR="00C45B8B">
        <w:rPr>
          <w:lang w:val="fr-FR"/>
        </w:rPr>
        <w:t>à l</w:t>
      </w:r>
      <w:r w:rsidRPr="00FE3F9B" w:rsidR="00FE3F9B">
        <w:rPr>
          <w:lang w:val="fr-FR"/>
        </w:rPr>
        <w:t>’</w:t>
      </w:r>
      <w:r w:rsidRPr="00FE3F9B" w:rsidR="00C45B8B">
        <w:rPr>
          <w:lang w:val="fr-FR"/>
        </w:rPr>
        <w:t>arrestation de</w:t>
      </w:r>
      <w:r w:rsidRPr="00FE3F9B">
        <w:rPr>
          <w:lang w:val="fr-FR"/>
        </w:rPr>
        <w:t xml:space="preserve"> la requérante.</w:t>
      </w:r>
    </w:p>
    <w:p w:rsidRPr="00FE3F9B" w:rsidR="008962E5" w:rsidP="00FE3F9B" w:rsidRDefault="00533931">
      <w:pPr>
        <w:pStyle w:val="ECHRHeading3"/>
        <w:rPr>
          <w:lang w:val="fr-FR"/>
        </w:rPr>
      </w:pPr>
      <w:r w:rsidRPr="00FE3F9B">
        <w:rPr>
          <w:lang w:val="fr-FR"/>
        </w:rPr>
        <w:t>2.  </w:t>
      </w:r>
      <w:r w:rsidRPr="00FE3F9B" w:rsidR="008962E5">
        <w:rPr>
          <w:lang w:val="fr-FR"/>
        </w:rPr>
        <w:t>La version du Gouvernement</w:t>
      </w:r>
    </w:p>
    <w:bookmarkStart w:name="versgouv1" w:id="4"/>
    <w:p w:rsidRPr="00FE3F9B" w:rsidR="00626424" w:rsidP="00FE3F9B" w:rsidRDefault="00626424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10</w:t>
      </w:r>
      <w:r w:rsidRPr="00FE3F9B">
        <w:rPr>
          <w:lang w:val="fr-FR"/>
        </w:rPr>
        <w:fldChar w:fldCharType="end"/>
      </w:r>
      <w:bookmarkEnd w:id="4"/>
      <w:r w:rsidRPr="00FE3F9B">
        <w:rPr>
          <w:lang w:val="fr-FR"/>
        </w:rPr>
        <w:t>.  Le Gouvernement confirme que</w:t>
      </w:r>
      <w:r w:rsidRPr="00FE3F9B" w:rsidR="0093559A">
        <w:rPr>
          <w:lang w:val="fr-FR"/>
        </w:rPr>
        <w:t xml:space="preserve"> le 6 novembre 2001</w:t>
      </w:r>
      <w:r w:rsidRPr="00FE3F9B">
        <w:rPr>
          <w:lang w:val="fr-FR"/>
        </w:rPr>
        <w:t xml:space="preserve"> les policiers P. et T. </w:t>
      </w:r>
      <w:r w:rsidRPr="00FE3F9B" w:rsidR="004746A8">
        <w:rPr>
          <w:lang w:val="fr-FR"/>
        </w:rPr>
        <w:t>se sont rendus</w:t>
      </w:r>
      <w:r w:rsidRPr="00FE3F9B">
        <w:rPr>
          <w:lang w:val="fr-FR"/>
        </w:rPr>
        <w:t xml:space="preserve"> </w:t>
      </w:r>
      <w:r w:rsidRPr="00FE3F9B" w:rsidR="00C45B8B">
        <w:rPr>
          <w:lang w:val="fr-FR"/>
        </w:rPr>
        <w:t>au domicile</w:t>
      </w:r>
      <w:r w:rsidRPr="00FE3F9B">
        <w:rPr>
          <w:lang w:val="fr-FR"/>
        </w:rPr>
        <w:t xml:space="preserve"> de la sœur de la requérante dans le cadre des recherches </w:t>
      </w:r>
      <w:r w:rsidRPr="00FE3F9B" w:rsidR="00C45B8B">
        <w:rPr>
          <w:lang w:val="fr-FR"/>
        </w:rPr>
        <w:t>menées pour retrouver</w:t>
      </w:r>
      <w:r w:rsidRPr="00FE3F9B" w:rsidR="00BB7920">
        <w:rPr>
          <w:lang w:val="fr-FR"/>
        </w:rPr>
        <w:t xml:space="preserve"> O.</w:t>
      </w:r>
      <w:r w:rsidRPr="00FE3F9B">
        <w:rPr>
          <w:lang w:val="fr-FR"/>
        </w:rPr>
        <w:t xml:space="preserve"> </w:t>
      </w:r>
      <w:r w:rsidRPr="00FE3F9B" w:rsidR="00B45E20">
        <w:rPr>
          <w:lang w:val="fr-FR"/>
        </w:rPr>
        <w:t>Il expose comme suit sa version des faits.</w:t>
      </w:r>
    </w:p>
    <w:p w:rsidRPr="00FE3F9B" w:rsidR="00953EE7" w:rsidP="00FE3F9B" w:rsidRDefault="008962E5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11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</w:t>
      </w:r>
      <w:r w:rsidRPr="00FE3F9B" w:rsidR="00C45B8B">
        <w:rPr>
          <w:lang w:val="fr-FR"/>
        </w:rPr>
        <w:t>Après</w:t>
      </w:r>
      <w:r w:rsidRPr="00FE3F9B" w:rsidR="00626424">
        <w:rPr>
          <w:lang w:val="fr-FR"/>
        </w:rPr>
        <w:t xml:space="preserve"> que P. e</w:t>
      </w:r>
      <w:r w:rsidRPr="00FE3F9B" w:rsidR="00BB7920">
        <w:rPr>
          <w:lang w:val="fr-FR"/>
        </w:rPr>
        <w:t>t</w:t>
      </w:r>
      <w:r w:rsidRPr="00FE3F9B" w:rsidR="00626424">
        <w:rPr>
          <w:lang w:val="fr-FR"/>
        </w:rPr>
        <w:t xml:space="preserve"> T. </w:t>
      </w:r>
      <w:r w:rsidRPr="00FE3F9B" w:rsidR="00C45B8B">
        <w:rPr>
          <w:lang w:val="fr-FR"/>
        </w:rPr>
        <w:t>eurent remis</w:t>
      </w:r>
      <w:r w:rsidRPr="00FE3F9B" w:rsidR="00626424">
        <w:rPr>
          <w:lang w:val="fr-FR"/>
        </w:rPr>
        <w:t xml:space="preserve"> </w:t>
      </w:r>
      <w:r w:rsidRPr="00FE3F9B" w:rsidR="0093559A">
        <w:rPr>
          <w:lang w:val="fr-FR"/>
        </w:rPr>
        <w:t>la</w:t>
      </w:r>
      <w:r w:rsidRPr="00FE3F9B" w:rsidR="00626424">
        <w:rPr>
          <w:lang w:val="fr-FR"/>
        </w:rPr>
        <w:t xml:space="preserve"> convocation adressée</w:t>
      </w:r>
      <w:r w:rsidRPr="00FE3F9B" w:rsidR="00BB7920">
        <w:rPr>
          <w:lang w:val="fr-FR"/>
        </w:rPr>
        <w:t xml:space="preserve"> à O.</w:t>
      </w:r>
      <w:r w:rsidRPr="00FE3F9B" w:rsidR="00C45B8B">
        <w:rPr>
          <w:lang w:val="fr-FR"/>
        </w:rPr>
        <w:t xml:space="preserve"> à la requérante</w:t>
      </w:r>
      <w:r w:rsidRPr="00FE3F9B" w:rsidR="00626424">
        <w:rPr>
          <w:lang w:val="fr-FR"/>
        </w:rPr>
        <w:t xml:space="preserve">, </w:t>
      </w:r>
      <w:r w:rsidRPr="00FE3F9B" w:rsidR="00C45B8B">
        <w:rPr>
          <w:lang w:val="fr-FR"/>
        </w:rPr>
        <w:t>celle-ci</w:t>
      </w:r>
      <w:r w:rsidRPr="00FE3F9B" w:rsidR="00626424">
        <w:rPr>
          <w:lang w:val="fr-FR"/>
        </w:rPr>
        <w:t xml:space="preserve"> </w:t>
      </w:r>
      <w:r w:rsidRPr="00FE3F9B">
        <w:rPr>
          <w:lang w:val="fr-FR"/>
        </w:rPr>
        <w:t>se comporta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une manière agressiv</w:t>
      </w:r>
      <w:r w:rsidRPr="00FE3F9B" w:rsidR="00626424">
        <w:rPr>
          <w:lang w:val="fr-FR"/>
        </w:rPr>
        <w:t>e : elle déchir</w:t>
      </w:r>
      <w:r w:rsidRPr="00FE3F9B" w:rsidR="00B45E20">
        <w:rPr>
          <w:lang w:val="fr-FR"/>
        </w:rPr>
        <w:t>a</w:t>
      </w:r>
      <w:r w:rsidRPr="00FE3F9B" w:rsidR="00626424">
        <w:rPr>
          <w:lang w:val="fr-FR"/>
        </w:rPr>
        <w:t xml:space="preserve"> la convocation</w:t>
      </w:r>
      <w:r w:rsidRPr="00FE3F9B" w:rsidR="00B45E20">
        <w:rPr>
          <w:lang w:val="fr-FR"/>
        </w:rPr>
        <w:t xml:space="preserve"> et la jeta au</w:t>
      </w:r>
      <w:r w:rsidRPr="00FE3F9B" w:rsidR="00626424">
        <w:rPr>
          <w:lang w:val="fr-FR"/>
        </w:rPr>
        <w:t xml:space="preserve"> visage </w:t>
      </w:r>
      <w:r w:rsidRPr="00FE3F9B" w:rsidR="009C3235">
        <w:rPr>
          <w:lang w:val="fr-FR"/>
        </w:rPr>
        <w:t>de T.</w:t>
      </w:r>
      <w:r w:rsidRPr="00FE3F9B" w:rsidR="00626424">
        <w:rPr>
          <w:lang w:val="fr-FR"/>
        </w:rPr>
        <w:t xml:space="preserve">, </w:t>
      </w:r>
      <w:r w:rsidRPr="00FE3F9B" w:rsidR="00B45E20">
        <w:rPr>
          <w:lang w:val="fr-FR"/>
        </w:rPr>
        <w:t>et elle</w:t>
      </w:r>
      <w:r w:rsidRPr="00FE3F9B" w:rsidR="00626424">
        <w:rPr>
          <w:lang w:val="fr-FR"/>
        </w:rPr>
        <w:t xml:space="preserve"> insult</w:t>
      </w:r>
      <w:r w:rsidRPr="00FE3F9B" w:rsidR="00B45E20">
        <w:rPr>
          <w:lang w:val="fr-FR"/>
        </w:rPr>
        <w:t xml:space="preserve">a les deux policiers </w:t>
      </w:r>
      <w:r w:rsidRPr="00FE3F9B" w:rsidR="00626424">
        <w:rPr>
          <w:lang w:val="fr-FR"/>
        </w:rPr>
        <w:t>et se</w:t>
      </w:r>
      <w:r w:rsidRPr="00FE3F9B" w:rsidR="00B45E20">
        <w:rPr>
          <w:lang w:val="fr-FR"/>
        </w:rPr>
        <w:t xml:space="preserve"> mit</w:t>
      </w:r>
      <w:r w:rsidRPr="00FE3F9B" w:rsidR="00626424">
        <w:rPr>
          <w:lang w:val="fr-FR"/>
        </w:rPr>
        <w:t xml:space="preserve"> à les chasser hors </w:t>
      </w:r>
      <w:r w:rsidRPr="00FE3F9B" w:rsidR="00496E74">
        <w:rPr>
          <w:lang w:val="fr-FR"/>
        </w:rPr>
        <w:t xml:space="preserve">de </w:t>
      </w:r>
      <w:r w:rsidRPr="00FE3F9B" w:rsidR="00626424">
        <w:rPr>
          <w:lang w:val="fr-FR"/>
        </w:rPr>
        <w:t>la maison.</w:t>
      </w:r>
    </w:p>
    <w:bookmarkStart w:name="versgouv2" w:id="5"/>
    <w:p w:rsidRPr="00FE3F9B" w:rsidR="00953EE7" w:rsidP="00FE3F9B" w:rsidRDefault="007E52F1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12</w:t>
      </w:r>
      <w:r w:rsidRPr="00FE3F9B">
        <w:rPr>
          <w:lang w:val="fr-FR"/>
        </w:rPr>
        <w:fldChar w:fldCharType="end"/>
      </w:r>
      <w:bookmarkEnd w:id="5"/>
      <w:r w:rsidRPr="00FE3F9B">
        <w:rPr>
          <w:lang w:val="fr-FR"/>
        </w:rPr>
        <w:t>.  </w:t>
      </w:r>
      <w:r w:rsidRPr="00FE3F9B" w:rsidR="00626424">
        <w:rPr>
          <w:lang w:val="fr-FR"/>
        </w:rPr>
        <w:t>L</w:t>
      </w:r>
      <w:r w:rsidRPr="00FE3F9B" w:rsidR="00B45E20">
        <w:rPr>
          <w:lang w:val="fr-FR"/>
        </w:rPr>
        <w:t>a</w:t>
      </w:r>
      <w:r w:rsidRPr="00FE3F9B" w:rsidR="00626424">
        <w:rPr>
          <w:lang w:val="fr-FR"/>
        </w:rPr>
        <w:t xml:space="preserve"> requérante, </w:t>
      </w:r>
      <w:r w:rsidRPr="00FE3F9B" w:rsidR="00BB7920">
        <w:rPr>
          <w:lang w:val="fr-FR"/>
        </w:rPr>
        <w:t xml:space="preserve">se trouvant </w:t>
      </w:r>
      <w:r w:rsidRPr="00FE3F9B" w:rsidR="00626424">
        <w:rPr>
          <w:lang w:val="fr-FR"/>
        </w:rPr>
        <w:t>en état d</w:t>
      </w:r>
      <w:r w:rsidRPr="00FE3F9B" w:rsidR="00FE3F9B">
        <w:rPr>
          <w:lang w:val="fr-FR"/>
        </w:rPr>
        <w:t>’</w:t>
      </w:r>
      <w:r w:rsidRPr="00FE3F9B" w:rsidR="00626424">
        <w:rPr>
          <w:lang w:val="fr-FR"/>
        </w:rPr>
        <w:t xml:space="preserve">ébriété, ne cessa pas ses actions </w:t>
      </w:r>
      <w:r w:rsidRPr="00FE3F9B" w:rsidR="00B45E20">
        <w:rPr>
          <w:lang w:val="fr-FR"/>
        </w:rPr>
        <w:t>même après avoir</w:t>
      </w:r>
      <w:r w:rsidRPr="00FE3F9B" w:rsidR="00626424">
        <w:rPr>
          <w:lang w:val="fr-FR"/>
        </w:rPr>
        <w:t xml:space="preserve"> été prévenue par les policiers du caractère illégal de son comportement. Puisque les actes de la requérante </w:t>
      </w:r>
      <w:r w:rsidRPr="00FE3F9B">
        <w:rPr>
          <w:lang w:val="fr-FR"/>
        </w:rPr>
        <w:t>pr</w:t>
      </w:r>
      <w:r w:rsidRPr="00FE3F9B" w:rsidR="00496E74">
        <w:rPr>
          <w:lang w:val="fr-FR"/>
        </w:rPr>
        <w:t>ésentaient des éléments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outrage à une personne dépositaire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autorité publique</w:t>
      </w:r>
      <w:r w:rsidRPr="00FE3F9B" w:rsidR="00B45E20">
        <w:rPr>
          <w:lang w:val="fr-FR"/>
        </w:rPr>
        <w:t xml:space="preserve"> –</w:t>
      </w:r>
      <w:r w:rsidRPr="00FE3F9B">
        <w:rPr>
          <w:lang w:val="fr-FR"/>
        </w:rPr>
        <w:t xml:space="preserve"> infraction </w:t>
      </w:r>
      <w:r w:rsidRPr="00FE3F9B" w:rsidR="00B45E20">
        <w:rPr>
          <w:lang w:val="fr-FR"/>
        </w:rPr>
        <w:t>réprimée</w:t>
      </w:r>
      <w:r w:rsidRPr="00FE3F9B">
        <w:rPr>
          <w:lang w:val="fr-FR"/>
        </w:rPr>
        <w:t xml:space="preserve"> p</w:t>
      </w:r>
      <w:r w:rsidRPr="00FE3F9B" w:rsidR="0093559A">
        <w:rPr>
          <w:lang w:val="fr-FR"/>
        </w:rPr>
        <w:t>ar l</w:t>
      </w:r>
      <w:r w:rsidRPr="00FE3F9B" w:rsidR="00FE3F9B">
        <w:rPr>
          <w:lang w:val="fr-FR"/>
        </w:rPr>
        <w:t>’</w:t>
      </w:r>
      <w:r w:rsidRPr="00FE3F9B" w:rsidR="0093559A">
        <w:rPr>
          <w:lang w:val="fr-FR"/>
        </w:rPr>
        <w:t>article 319 du code pénal</w:t>
      </w:r>
      <w:r w:rsidRPr="00FE3F9B">
        <w:rPr>
          <w:lang w:val="fr-FR"/>
        </w:rPr>
        <w:t xml:space="preserve"> (CP)</w:t>
      </w:r>
      <w:r w:rsidRPr="00FE3F9B" w:rsidR="00B45E20">
        <w:rPr>
          <w:lang w:val="fr-FR"/>
        </w:rPr>
        <w:t xml:space="preserve"> –</w:t>
      </w:r>
      <w:r w:rsidRPr="00FE3F9B">
        <w:rPr>
          <w:lang w:val="fr-FR"/>
        </w:rPr>
        <w:t>, P. et T. demand</w:t>
      </w:r>
      <w:r w:rsidRPr="00FE3F9B" w:rsidR="00B45E20">
        <w:rPr>
          <w:lang w:val="fr-FR"/>
        </w:rPr>
        <w:t>èrent</w:t>
      </w:r>
      <w:r w:rsidRPr="00FE3F9B">
        <w:rPr>
          <w:lang w:val="fr-FR"/>
        </w:rPr>
        <w:t xml:space="preserve"> à </w:t>
      </w:r>
      <w:r w:rsidRPr="00FE3F9B" w:rsidR="00B45E20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 w:rsidR="00B45E20">
        <w:rPr>
          <w:lang w:val="fr-FR"/>
        </w:rPr>
        <w:t>intéressée</w:t>
      </w:r>
      <w:r w:rsidRPr="00FE3F9B">
        <w:rPr>
          <w:lang w:val="fr-FR"/>
        </w:rPr>
        <w:t xml:space="preserve"> de les suivre au commissariat de police</w:t>
      </w:r>
      <w:r w:rsidRPr="00FE3F9B" w:rsidR="00BB7920">
        <w:rPr>
          <w:lang w:val="fr-FR"/>
        </w:rPr>
        <w:t xml:space="preserve"> afin de dresser un procès-verbal</w:t>
      </w:r>
      <w:r w:rsidRPr="00FE3F9B">
        <w:rPr>
          <w:lang w:val="fr-FR"/>
        </w:rPr>
        <w:t>. Face au refus de la requérante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obtempérer, ils pri</w:t>
      </w:r>
      <w:r w:rsidRPr="00FE3F9B" w:rsidR="00B45E20">
        <w:rPr>
          <w:lang w:val="fr-FR"/>
        </w:rPr>
        <w:t>rent celle</w:t>
      </w:r>
      <w:r w:rsidRPr="00FE3F9B" w:rsidR="00B45E20">
        <w:rPr>
          <w:lang w:val="fr-FR"/>
        </w:rPr>
        <w:noBreakHyphen/>
        <w:t>ci</w:t>
      </w:r>
      <w:r w:rsidRPr="00FE3F9B">
        <w:rPr>
          <w:lang w:val="fr-FR"/>
        </w:rPr>
        <w:t xml:space="preserve"> par les mains afin de la conduire dans la voiture de police. La requérante résist</w:t>
      </w:r>
      <w:r w:rsidRPr="00FE3F9B" w:rsidR="00D971BF">
        <w:rPr>
          <w:lang w:val="fr-FR"/>
        </w:rPr>
        <w:t>a</w:t>
      </w:r>
      <w:r w:rsidRPr="00FE3F9B">
        <w:rPr>
          <w:lang w:val="fr-FR"/>
        </w:rPr>
        <w:t xml:space="preserve"> et</w:t>
      </w:r>
      <w:r w:rsidRPr="00FE3F9B" w:rsidR="00496E74">
        <w:rPr>
          <w:lang w:val="fr-FR"/>
        </w:rPr>
        <w:t xml:space="preserve"> essay</w:t>
      </w:r>
      <w:r w:rsidRPr="00FE3F9B" w:rsidR="00D971BF">
        <w:rPr>
          <w:lang w:val="fr-FR"/>
        </w:rPr>
        <w:t>a</w:t>
      </w:r>
      <w:r w:rsidRPr="00FE3F9B" w:rsidR="00496E74">
        <w:rPr>
          <w:lang w:val="fr-FR"/>
        </w:rPr>
        <w:t xml:space="preserve"> de</w:t>
      </w:r>
      <w:r w:rsidRPr="00FE3F9B" w:rsidR="007C4CB0">
        <w:rPr>
          <w:lang w:val="fr-FR"/>
        </w:rPr>
        <w:t xml:space="preserve"> </w:t>
      </w:r>
      <w:r w:rsidRPr="00FE3F9B">
        <w:rPr>
          <w:lang w:val="fr-FR"/>
        </w:rPr>
        <w:t>tomb</w:t>
      </w:r>
      <w:r w:rsidRPr="00FE3F9B" w:rsidR="00496E74">
        <w:rPr>
          <w:lang w:val="fr-FR"/>
        </w:rPr>
        <w:t>er</w:t>
      </w:r>
      <w:r w:rsidRPr="00FE3F9B">
        <w:rPr>
          <w:lang w:val="fr-FR"/>
        </w:rPr>
        <w:t xml:space="preserve"> sur ses genoux. À ce moment, F. </w:t>
      </w:r>
      <w:r w:rsidRPr="00FE3F9B" w:rsidR="00496E74">
        <w:rPr>
          <w:lang w:val="fr-FR"/>
        </w:rPr>
        <w:t>sorti</w:t>
      </w:r>
      <w:r w:rsidRPr="00FE3F9B" w:rsidR="00D971BF">
        <w:rPr>
          <w:lang w:val="fr-FR"/>
        </w:rPr>
        <w:t>t</w:t>
      </w:r>
      <w:r w:rsidRPr="00FE3F9B" w:rsidR="00496E74">
        <w:rPr>
          <w:lang w:val="fr-FR"/>
        </w:rPr>
        <w:t xml:space="preserve"> en courant </w:t>
      </w:r>
      <w:r w:rsidRPr="00FE3F9B" w:rsidR="006177F9">
        <w:rPr>
          <w:lang w:val="fr-FR"/>
        </w:rPr>
        <w:t>de la maison et donn</w:t>
      </w:r>
      <w:r w:rsidRPr="00FE3F9B" w:rsidR="00D971BF">
        <w:rPr>
          <w:lang w:val="fr-FR"/>
        </w:rPr>
        <w:t>a</w:t>
      </w:r>
      <w:r w:rsidRPr="00FE3F9B" w:rsidR="006177F9">
        <w:rPr>
          <w:lang w:val="fr-FR"/>
        </w:rPr>
        <w:t xml:space="preserve"> un coup de pied dans le ventre d</w:t>
      </w:r>
      <w:r w:rsidRPr="00FE3F9B" w:rsidR="00FE3F9B">
        <w:rPr>
          <w:lang w:val="fr-FR"/>
        </w:rPr>
        <w:t>’</w:t>
      </w:r>
      <w:r w:rsidRPr="00FE3F9B" w:rsidR="006177F9">
        <w:rPr>
          <w:lang w:val="fr-FR"/>
        </w:rPr>
        <w:t xml:space="preserve">un des policiers. P. et T. </w:t>
      </w:r>
      <w:r w:rsidRPr="00FE3F9B" w:rsidR="00D971BF">
        <w:rPr>
          <w:lang w:val="fr-FR"/>
        </w:rPr>
        <w:t>furent alors contraints de mettre un terme aux agissements de</w:t>
      </w:r>
      <w:r w:rsidRPr="00FE3F9B" w:rsidR="006177F9">
        <w:rPr>
          <w:lang w:val="fr-FR"/>
        </w:rPr>
        <w:t xml:space="preserve"> F. en utilisant la force physique et en </w:t>
      </w:r>
      <w:r w:rsidRPr="00FE3F9B" w:rsidR="00C43C6A">
        <w:rPr>
          <w:lang w:val="fr-FR"/>
        </w:rPr>
        <w:t xml:space="preserve">le </w:t>
      </w:r>
      <w:r w:rsidRPr="00FE3F9B" w:rsidR="006177F9">
        <w:rPr>
          <w:lang w:val="fr-FR"/>
        </w:rPr>
        <w:t>menottant. Ils conduisirent ensuite F. au commissariat de police</w:t>
      </w:r>
      <w:r w:rsidRPr="00FE3F9B" w:rsidR="00496E74">
        <w:rPr>
          <w:lang w:val="fr-FR"/>
        </w:rPr>
        <w:t>.</w:t>
      </w:r>
    </w:p>
    <w:p w:rsidRPr="00FE3F9B" w:rsidR="006177F9" w:rsidP="00FE3F9B" w:rsidRDefault="00533931">
      <w:pPr>
        <w:pStyle w:val="ECHRHeading3"/>
        <w:rPr>
          <w:lang w:val="fr-FR"/>
        </w:rPr>
      </w:pPr>
      <w:r w:rsidRPr="00FE3F9B">
        <w:rPr>
          <w:lang w:val="fr-FR"/>
        </w:rPr>
        <w:t>3.  </w:t>
      </w:r>
      <w:r w:rsidRPr="00FE3F9B" w:rsidR="006177F9">
        <w:rPr>
          <w:lang w:val="fr-FR"/>
        </w:rPr>
        <w:t>Les documents médicaux attestant des lésions corporelles de la requérante</w:t>
      </w:r>
    </w:p>
    <w:bookmarkStart w:name="attmed6nov" w:id="6"/>
    <w:p w:rsidRPr="00FE3F9B" w:rsidR="00953EE7" w:rsidP="00FE3F9B" w:rsidRDefault="006177F9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13</w:t>
      </w:r>
      <w:r w:rsidRPr="00FE3F9B">
        <w:rPr>
          <w:lang w:val="fr-FR"/>
        </w:rPr>
        <w:fldChar w:fldCharType="end"/>
      </w:r>
      <w:bookmarkEnd w:id="6"/>
      <w:r w:rsidRPr="00FE3F9B">
        <w:rPr>
          <w:lang w:val="fr-FR"/>
        </w:rPr>
        <w:t>.  </w:t>
      </w:r>
      <w:r w:rsidRPr="00FE3F9B" w:rsidR="00BB7920">
        <w:rPr>
          <w:lang w:val="fr-FR"/>
        </w:rPr>
        <w:t>L</w:t>
      </w:r>
      <w:r w:rsidRPr="00FE3F9B">
        <w:rPr>
          <w:lang w:val="fr-FR"/>
        </w:rPr>
        <w:t xml:space="preserve">e 6 </w:t>
      </w:r>
      <w:r w:rsidRPr="00FE3F9B" w:rsidR="00BB7920">
        <w:rPr>
          <w:lang w:val="fr-FR"/>
        </w:rPr>
        <w:t xml:space="preserve">novembre 2001, </w:t>
      </w:r>
      <w:r w:rsidRPr="00FE3F9B" w:rsidR="00496E74">
        <w:rPr>
          <w:lang w:val="fr-FR"/>
        </w:rPr>
        <w:t>après l</w:t>
      </w:r>
      <w:r w:rsidRPr="00FE3F9B" w:rsidR="00FE3F9B">
        <w:rPr>
          <w:lang w:val="fr-FR"/>
        </w:rPr>
        <w:t>’</w:t>
      </w:r>
      <w:r w:rsidRPr="00FE3F9B" w:rsidR="00496E74">
        <w:rPr>
          <w:lang w:val="fr-FR"/>
        </w:rPr>
        <w:t xml:space="preserve">incident impliquant les policiers P. et T., </w:t>
      </w:r>
      <w:r w:rsidRPr="00FE3F9B" w:rsidR="00BB7920">
        <w:rPr>
          <w:lang w:val="fr-FR"/>
        </w:rPr>
        <w:t>la requérante se rendit</w:t>
      </w:r>
      <w:r w:rsidRPr="00FE3F9B" w:rsidR="00DC0ACD">
        <w:rPr>
          <w:lang w:val="fr-FR"/>
        </w:rPr>
        <w:t xml:space="preserve"> </w:t>
      </w:r>
      <w:r w:rsidRPr="00FE3F9B" w:rsidR="00393C48">
        <w:rPr>
          <w:lang w:val="fr-FR"/>
        </w:rPr>
        <w:t xml:space="preserve">au </w:t>
      </w:r>
      <w:r w:rsidRPr="00FE3F9B" w:rsidR="008204C8">
        <w:rPr>
          <w:lang w:val="fr-FR"/>
        </w:rPr>
        <w:t>service de</w:t>
      </w:r>
      <w:r w:rsidRPr="00FE3F9B" w:rsidR="00393C48">
        <w:rPr>
          <w:lang w:val="fr-FR"/>
        </w:rPr>
        <w:t xml:space="preserve"> traumatologi</w:t>
      </w:r>
      <w:r w:rsidRPr="00FE3F9B" w:rsidR="008204C8">
        <w:rPr>
          <w:lang w:val="fr-FR"/>
        </w:rPr>
        <w:t>e</w:t>
      </w:r>
      <w:r w:rsidRPr="00FE3F9B" w:rsidR="00393C48">
        <w:rPr>
          <w:lang w:val="fr-FR"/>
        </w:rPr>
        <w:t xml:space="preserve"> d</w:t>
      </w:r>
      <w:r w:rsidRPr="00FE3F9B" w:rsidR="008204C8">
        <w:rPr>
          <w:lang w:val="fr-FR"/>
        </w:rPr>
        <w:t>e l</w:t>
      </w:r>
      <w:r w:rsidRPr="00FE3F9B" w:rsidR="00FE3F9B">
        <w:rPr>
          <w:lang w:val="fr-FR"/>
        </w:rPr>
        <w:t>’</w:t>
      </w:r>
      <w:r w:rsidRPr="00FE3F9B" w:rsidR="008204C8">
        <w:rPr>
          <w:lang w:val="fr-FR"/>
        </w:rPr>
        <w:t>arrondissement Avtozavodski</w:t>
      </w:r>
      <w:r w:rsidRPr="00FE3F9B" w:rsidR="00393C48">
        <w:rPr>
          <w:lang w:val="fr-FR"/>
        </w:rPr>
        <w:t xml:space="preserve"> de Nijni Novgorod</w:t>
      </w:r>
      <w:r w:rsidRPr="00FE3F9B" w:rsidR="00496E74">
        <w:rPr>
          <w:lang w:val="fr-FR"/>
        </w:rPr>
        <w:t xml:space="preserve">. </w:t>
      </w:r>
      <w:r w:rsidRPr="00FE3F9B" w:rsidR="00C141F5">
        <w:rPr>
          <w:lang w:val="fr-FR"/>
        </w:rPr>
        <w:t xml:space="preserve">Elle se vit </w:t>
      </w:r>
      <w:r w:rsidRPr="00FE3F9B" w:rsidR="00393C48">
        <w:rPr>
          <w:lang w:val="fr-FR"/>
        </w:rPr>
        <w:t>délivr</w:t>
      </w:r>
      <w:r w:rsidRPr="00FE3F9B" w:rsidR="00C141F5">
        <w:rPr>
          <w:lang w:val="fr-FR"/>
        </w:rPr>
        <w:t>er</w:t>
      </w:r>
      <w:r w:rsidRPr="00FE3F9B" w:rsidR="00393C48">
        <w:rPr>
          <w:lang w:val="fr-FR"/>
        </w:rPr>
        <w:t xml:space="preserve"> une attestation médicale</w:t>
      </w:r>
      <w:r w:rsidRPr="00FE3F9B" w:rsidR="00C141F5">
        <w:rPr>
          <w:lang w:val="fr-FR"/>
        </w:rPr>
        <w:t xml:space="preserve">, rédigée </w:t>
      </w:r>
      <w:r w:rsidRPr="00FE3F9B" w:rsidR="00030E12">
        <w:rPr>
          <w:lang w:val="fr-FR"/>
        </w:rPr>
        <w:t>comme suit en sa partie pertinente en l</w:t>
      </w:r>
      <w:r w:rsidRPr="00FE3F9B" w:rsidR="00FE3F9B">
        <w:rPr>
          <w:lang w:val="fr-FR"/>
        </w:rPr>
        <w:t>’</w:t>
      </w:r>
      <w:r w:rsidRPr="00FE3F9B" w:rsidR="00030E12">
        <w:rPr>
          <w:lang w:val="fr-FR"/>
        </w:rPr>
        <w:t>espèce :</w:t>
      </w:r>
    </w:p>
    <w:p w:rsidRPr="00FE3F9B" w:rsidR="00953EE7" w:rsidP="00FE3F9B" w:rsidRDefault="00030E12">
      <w:pPr>
        <w:pStyle w:val="ECHRParaQuote"/>
        <w:rPr>
          <w:lang w:val="fr-FR"/>
        </w:rPr>
      </w:pPr>
      <w:r w:rsidRPr="00FE3F9B">
        <w:rPr>
          <w:lang w:val="fr-FR"/>
        </w:rPr>
        <w:t>«  (</w:t>
      </w:r>
      <w:r w:rsidRPr="00FE3F9B" w:rsidR="00024EF5">
        <w:rPr>
          <w:lang w:val="fr-FR"/>
        </w:rPr>
        <w:t>...</w:t>
      </w:r>
      <w:r w:rsidRPr="00FE3F9B">
        <w:rPr>
          <w:lang w:val="fr-FR"/>
        </w:rPr>
        <w:t xml:space="preserve">) [La présente] attestation est délivrée à [la </w:t>
      </w:r>
      <w:r w:rsidRPr="00FE3F9B" w:rsidR="00C141F5">
        <w:rPr>
          <w:lang w:val="fr-FR"/>
        </w:rPr>
        <w:t>patiente</w:t>
      </w:r>
      <w:r w:rsidRPr="00FE3F9B">
        <w:rPr>
          <w:lang w:val="fr-FR"/>
        </w:rPr>
        <w:t>]</w:t>
      </w:r>
      <w:r w:rsidRPr="00FE3F9B" w:rsidR="00C141F5">
        <w:rPr>
          <w:lang w:val="fr-FR"/>
        </w:rPr>
        <w:t>,</w:t>
      </w:r>
      <w:r w:rsidRPr="00FE3F9B" w:rsidR="00393C48">
        <w:rPr>
          <w:lang w:val="fr-FR"/>
        </w:rPr>
        <w:t xml:space="preserve"> </w:t>
      </w:r>
      <w:r w:rsidRPr="00FE3F9B" w:rsidR="00496E74">
        <w:rPr>
          <w:lang w:val="fr-FR"/>
        </w:rPr>
        <w:t>confirmant que le 6 </w:t>
      </w:r>
      <w:r w:rsidRPr="00FE3F9B">
        <w:rPr>
          <w:lang w:val="fr-FR"/>
        </w:rPr>
        <w:t xml:space="preserve">novembre 2001 elle a demandé des soins médicaux. Diagnostic : </w:t>
      </w:r>
      <w:r w:rsidRPr="00FE3F9B" w:rsidR="003C1C95">
        <w:rPr>
          <w:lang w:val="fr-FR"/>
        </w:rPr>
        <w:t>contusion des tissus mous de l</w:t>
      </w:r>
      <w:r w:rsidRPr="00FE3F9B" w:rsidR="00FE3F9B">
        <w:rPr>
          <w:lang w:val="fr-FR"/>
        </w:rPr>
        <w:t>’</w:t>
      </w:r>
      <w:r w:rsidRPr="00FE3F9B" w:rsidR="003C1C95">
        <w:rPr>
          <w:lang w:val="fr-FR"/>
        </w:rPr>
        <w:t xml:space="preserve">arcade droite. </w:t>
      </w:r>
      <w:r w:rsidRPr="00FE3F9B">
        <w:rPr>
          <w:lang w:val="fr-FR"/>
        </w:rPr>
        <w:t>Les soins prodigués : examen, conseil (</w:t>
      </w:r>
      <w:r w:rsidRPr="00FE3F9B" w:rsidR="00024EF5">
        <w:rPr>
          <w:lang w:val="fr-FR"/>
        </w:rPr>
        <w:t>...</w:t>
      </w:r>
      <w:r w:rsidRPr="00FE3F9B">
        <w:rPr>
          <w:lang w:val="fr-FR"/>
        </w:rPr>
        <w:t>) »</w:t>
      </w:r>
    </w:p>
    <w:bookmarkStart w:name="exexp9nov" w:id="7"/>
    <w:p w:rsidRPr="00FE3F9B" w:rsidR="00953EE7" w:rsidP="00FE3F9B" w:rsidRDefault="003C1C95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14</w:t>
      </w:r>
      <w:r w:rsidRPr="00FE3F9B">
        <w:rPr>
          <w:lang w:val="fr-FR"/>
        </w:rPr>
        <w:fldChar w:fldCharType="end"/>
      </w:r>
      <w:bookmarkEnd w:id="7"/>
      <w:r w:rsidRPr="00FE3F9B">
        <w:rPr>
          <w:lang w:val="fr-FR"/>
        </w:rPr>
        <w:t>.  Le 9 nove</w:t>
      </w:r>
      <w:r w:rsidRPr="00FE3F9B" w:rsidR="00496E74">
        <w:rPr>
          <w:lang w:val="fr-FR"/>
        </w:rPr>
        <w:t xml:space="preserve">mbre 2001, </w:t>
      </w:r>
      <w:r w:rsidRPr="00FE3F9B" w:rsidR="00C333E4">
        <w:rPr>
          <w:lang w:val="fr-FR"/>
        </w:rPr>
        <w:t xml:space="preserve">le médecin légiste Y. du bureau de médecine légale de la région de Nijni Novgorod </w:t>
      </w:r>
      <w:r w:rsidRPr="00FE3F9B" w:rsidR="00002456">
        <w:rPr>
          <w:lang w:val="fr-FR"/>
        </w:rPr>
        <w:t xml:space="preserve">examina </w:t>
      </w:r>
      <w:r w:rsidRPr="00FE3F9B" w:rsidR="00496E74">
        <w:rPr>
          <w:lang w:val="fr-FR"/>
        </w:rPr>
        <w:t>la requérante dans le cadre d</w:t>
      </w:r>
      <w:r w:rsidRPr="00FE3F9B" w:rsidR="00FE3F9B">
        <w:rPr>
          <w:lang w:val="fr-FR"/>
        </w:rPr>
        <w:t>’</w:t>
      </w:r>
      <w:r w:rsidRPr="00FE3F9B" w:rsidR="00496E74">
        <w:rPr>
          <w:lang w:val="fr-FR"/>
        </w:rPr>
        <w:t>une</w:t>
      </w:r>
      <w:r w:rsidRPr="00FE3F9B">
        <w:rPr>
          <w:lang w:val="fr-FR"/>
        </w:rPr>
        <w:t xml:space="preserve"> expertise médicolégale</w:t>
      </w:r>
      <w:r w:rsidRPr="00FE3F9B" w:rsidR="0093467A">
        <w:rPr>
          <w:lang w:val="fr-FR"/>
        </w:rPr>
        <w:t xml:space="preserve"> ordonnée par les autorités </w:t>
      </w:r>
      <w:r w:rsidRPr="00FE3F9B" w:rsidR="00346AD0">
        <w:rPr>
          <w:lang w:val="fr-FR"/>
        </w:rPr>
        <w:t>chargées de l</w:t>
      </w:r>
      <w:r w:rsidRPr="00FE3F9B" w:rsidR="00FE3F9B">
        <w:rPr>
          <w:lang w:val="fr-FR"/>
        </w:rPr>
        <w:t>’</w:t>
      </w:r>
      <w:r w:rsidRPr="00FE3F9B" w:rsidR="00346AD0">
        <w:rPr>
          <w:lang w:val="fr-FR"/>
        </w:rPr>
        <w:t>instruction</w:t>
      </w:r>
      <w:r w:rsidRPr="00FE3F9B" w:rsidR="00496E74">
        <w:rPr>
          <w:lang w:val="fr-FR"/>
        </w:rPr>
        <w:t xml:space="preserve"> (paragraphe </w:t>
      </w:r>
      <w:r w:rsidRPr="00FE3F9B" w:rsidR="000B085D">
        <w:rPr>
          <w:lang w:val="fr-FR"/>
        </w:rPr>
        <w:fldChar w:fldCharType="begin"/>
      </w:r>
      <w:r w:rsidRPr="00FE3F9B" w:rsidR="000B085D">
        <w:rPr>
          <w:lang w:val="fr-FR"/>
        </w:rPr>
        <w:instrText xml:space="preserve"> REF fixexp \h </w:instrText>
      </w:r>
      <w:r w:rsidRPr="00FE3F9B" w:rsidR="00DC0ACD">
        <w:rPr>
          <w:lang w:val="fr-FR"/>
        </w:rPr>
        <w:instrText xml:space="preserve"> \* MERGEFORMAT </w:instrText>
      </w:r>
      <w:r w:rsidRPr="00FE3F9B" w:rsidR="000B085D">
        <w:rPr>
          <w:lang w:val="fr-FR"/>
        </w:rPr>
      </w:r>
      <w:r w:rsidRPr="00FE3F9B" w:rsidR="000B085D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18</w:t>
      </w:r>
      <w:r w:rsidRPr="00FE3F9B" w:rsidR="000B085D">
        <w:rPr>
          <w:lang w:val="fr-FR"/>
        </w:rPr>
        <w:fldChar w:fldCharType="end"/>
      </w:r>
      <w:r w:rsidRPr="00FE3F9B" w:rsidR="000B085D">
        <w:rPr>
          <w:lang w:val="fr-FR"/>
        </w:rPr>
        <w:t xml:space="preserve"> </w:t>
      </w:r>
      <w:r w:rsidRPr="00FE3F9B" w:rsidR="00496E74">
        <w:rPr>
          <w:lang w:val="fr-FR"/>
        </w:rPr>
        <w:t>ci</w:t>
      </w:r>
      <w:r w:rsidRPr="00FE3F9B" w:rsidR="00C141F5">
        <w:rPr>
          <w:lang w:val="fr-FR"/>
        </w:rPr>
        <w:noBreakHyphen/>
      </w:r>
      <w:r w:rsidRPr="00FE3F9B" w:rsidR="00496E74">
        <w:rPr>
          <w:lang w:val="fr-FR"/>
        </w:rPr>
        <w:t>dessous)</w:t>
      </w:r>
      <w:r w:rsidRPr="00FE3F9B">
        <w:rPr>
          <w:lang w:val="fr-FR"/>
        </w:rPr>
        <w:t>.</w:t>
      </w:r>
    </w:p>
    <w:bookmarkStart w:name="rappexp19nov" w:id="8"/>
    <w:p w:rsidRPr="00FE3F9B" w:rsidR="00953EE7" w:rsidP="00FE3F9B" w:rsidRDefault="00693DC5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15</w:t>
      </w:r>
      <w:r w:rsidRPr="00FE3F9B">
        <w:rPr>
          <w:lang w:val="fr-FR"/>
        </w:rPr>
        <w:fldChar w:fldCharType="end"/>
      </w:r>
      <w:bookmarkEnd w:id="8"/>
      <w:r w:rsidRPr="00FE3F9B">
        <w:rPr>
          <w:lang w:val="fr-FR"/>
        </w:rPr>
        <w:t>.  </w:t>
      </w:r>
      <w:r w:rsidRPr="00FE3F9B" w:rsidR="00C333E4">
        <w:rPr>
          <w:lang w:val="fr-FR"/>
        </w:rPr>
        <w:t xml:space="preserve">Il </w:t>
      </w:r>
      <w:r w:rsidRPr="00FE3F9B">
        <w:rPr>
          <w:lang w:val="fr-FR"/>
        </w:rPr>
        <w:t>rendit son rapport</w:t>
      </w:r>
      <w:r w:rsidRPr="00FE3F9B" w:rsidR="00C333E4">
        <w:rPr>
          <w:lang w:val="fr-FR"/>
        </w:rPr>
        <w:t xml:space="preserve"> le 19 novembre 2001. Ce rapport se lisait comme suit</w:t>
      </w:r>
      <w:r w:rsidRPr="00FE3F9B" w:rsidR="0093467A">
        <w:rPr>
          <w:lang w:val="fr-FR"/>
        </w:rPr>
        <w:t xml:space="preserve"> en</w:t>
      </w:r>
      <w:r w:rsidRPr="00FE3F9B">
        <w:rPr>
          <w:lang w:val="fr-FR"/>
        </w:rPr>
        <w:t xml:space="preserve"> s</w:t>
      </w:r>
      <w:r w:rsidRPr="00FE3F9B" w:rsidR="0093467A">
        <w:rPr>
          <w:lang w:val="fr-FR"/>
        </w:rPr>
        <w:t xml:space="preserve">es </w:t>
      </w:r>
      <w:r w:rsidRPr="00FE3F9B">
        <w:rPr>
          <w:lang w:val="fr-FR"/>
        </w:rPr>
        <w:t>partie</w:t>
      </w:r>
      <w:r w:rsidRPr="00FE3F9B" w:rsidR="0093467A">
        <w:rPr>
          <w:lang w:val="fr-FR"/>
        </w:rPr>
        <w:t>s</w:t>
      </w:r>
      <w:r w:rsidRPr="00FE3F9B">
        <w:rPr>
          <w:lang w:val="fr-FR"/>
        </w:rPr>
        <w:t xml:space="preserve"> pertinente</w:t>
      </w:r>
      <w:r w:rsidRPr="00FE3F9B" w:rsidR="0093467A">
        <w:rPr>
          <w:lang w:val="fr-FR"/>
        </w:rPr>
        <w:t>s</w:t>
      </w:r>
      <w:r w:rsidRPr="00FE3F9B">
        <w:rPr>
          <w:lang w:val="fr-FR"/>
        </w:rPr>
        <w:t xml:space="preserve"> en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espèce :</w:t>
      </w:r>
    </w:p>
    <w:p w:rsidRPr="00FE3F9B" w:rsidR="00953EE7" w:rsidP="00FE3F9B" w:rsidRDefault="00693DC5">
      <w:pPr>
        <w:pStyle w:val="ECHRParaQuote"/>
        <w:rPr>
          <w:lang w:val="fr-FR"/>
        </w:rPr>
      </w:pPr>
      <w:r w:rsidRPr="00FE3F9B">
        <w:rPr>
          <w:lang w:val="fr-FR"/>
        </w:rPr>
        <w:t>« </w:t>
      </w:r>
      <w:r w:rsidRPr="00FE3F9B" w:rsidR="007C3C09">
        <w:rPr>
          <w:lang w:val="fr-FR"/>
        </w:rPr>
        <w:t>Circonstances de l</w:t>
      </w:r>
      <w:r w:rsidRPr="00FE3F9B" w:rsidR="00FE3F9B">
        <w:rPr>
          <w:lang w:val="fr-FR"/>
        </w:rPr>
        <w:t>’</w:t>
      </w:r>
      <w:r w:rsidRPr="00FE3F9B" w:rsidR="007C3C09">
        <w:rPr>
          <w:lang w:val="fr-FR"/>
        </w:rPr>
        <w:t>espèce</w:t>
      </w:r>
    </w:p>
    <w:p w:rsidRPr="00FE3F9B" w:rsidR="00953EE7" w:rsidP="00FE3F9B" w:rsidRDefault="0093559A">
      <w:pPr>
        <w:pStyle w:val="ECHRParaQuote"/>
        <w:rPr>
          <w:lang w:val="fr-FR"/>
        </w:rPr>
      </w:pPr>
      <w:r w:rsidRPr="00FE3F9B">
        <w:rPr>
          <w:lang w:val="fr-FR"/>
        </w:rPr>
        <w:t xml:space="preserve">[Il ressort] de </w:t>
      </w:r>
      <w:r w:rsidRPr="00FE3F9B" w:rsidR="008204C8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 w:rsidR="008204C8">
        <w:rPr>
          <w:lang w:val="fr-FR"/>
        </w:rPr>
        <w:t>ordonnance [de l</w:t>
      </w:r>
      <w:r w:rsidRPr="00FE3F9B" w:rsidR="00FE3F9B">
        <w:rPr>
          <w:lang w:val="fr-FR"/>
        </w:rPr>
        <w:t>’</w:t>
      </w:r>
      <w:r w:rsidRPr="00FE3F9B" w:rsidR="008204C8">
        <w:rPr>
          <w:lang w:val="fr-FR"/>
        </w:rPr>
        <w:t xml:space="preserve">enquêteur] et </w:t>
      </w:r>
      <w:r w:rsidRPr="00FE3F9B" w:rsidR="00744BDF">
        <w:rPr>
          <w:lang w:val="fr-FR"/>
        </w:rPr>
        <w:t>des explications</w:t>
      </w:r>
      <w:r w:rsidRPr="00FE3F9B" w:rsidR="008204C8">
        <w:rPr>
          <w:lang w:val="fr-FR"/>
        </w:rPr>
        <w:t xml:space="preserve"> de [la </w:t>
      </w:r>
      <w:r w:rsidRPr="00FE3F9B" w:rsidR="00002456">
        <w:rPr>
          <w:lang w:val="fr-FR"/>
        </w:rPr>
        <w:t>patiente</w:t>
      </w:r>
      <w:r w:rsidRPr="00FE3F9B" w:rsidR="00744BDF">
        <w:rPr>
          <w:lang w:val="fr-FR"/>
        </w:rPr>
        <w:t>] que le 6 novembre 2001</w:t>
      </w:r>
      <w:r w:rsidRPr="00FE3F9B" w:rsidR="008204C8">
        <w:rPr>
          <w:lang w:val="fr-FR"/>
        </w:rPr>
        <w:t xml:space="preserve"> </w:t>
      </w:r>
      <w:r w:rsidRPr="00FE3F9B" w:rsidR="00002456">
        <w:rPr>
          <w:lang w:val="fr-FR"/>
        </w:rPr>
        <w:t>c</w:t>
      </w:r>
      <w:r w:rsidRPr="00FE3F9B" w:rsidR="008204C8">
        <w:rPr>
          <w:lang w:val="fr-FR"/>
        </w:rPr>
        <w:t>elle</w:t>
      </w:r>
      <w:r w:rsidRPr="00FE3F9B" w:rsidR="00002456">
        <w:rPr>
          <w:lang w:val="fr-FR"/>
        </w:rPr>
        <w:t>-ci</w:t>
      </w:r>
      <w:r w:rsidRPr="00FE3F9B" w:rsidR="008204C8">
        <w:rPr>
          <w:lang w:val="fr-FR"/>
        </w:rPr>
        <w:t xml:space="preserve"> a été battue par deux hommes (officiers de police), [qui] lui </w:t>
      </w:r>
      <w:r w:rsidRPr="00FE3F9B" w:rsidR="00002456">
        <w:rPr>
          <w:lang w:val="fr-FR"/>
        </w:rPr>
        <w:t>ont</w:t>
      </w:r>
      <w:r w:rsidRPr="00FE3F9B" w:rsidR="008204C8">
        <w:rPr>
          <w:lang w:val="fr-FR"/>
        </w:rPr>
        <w:t xml:space="preserve"> « tordu » les bras</w:t>
      </w:r>
      <w:r w:rsidRPr="00FE3F9B" w:rsidR="00002456">
        <w:rPr>
          <w:lang w:val="fr-FR"/>
        </w:rPr>
        <w:t xml:space="preserve"> et</w:t>
      </w:r>
      <w:r w:rsidRPr="00FE3F9B" w:rsidR="008204C8">
        <w:rPr>
          <w:lang w:val="fr-FR"/>
        </w:rPr>
        <w:t xml:space="preserve"> asséné un coup de poing et l</w:t>
      </w:r>
      <w:r w:rsidRPr="00FE3F9B" w:rsidR="00FE3F9B">
        <w:rPr>
          <w:lang w:val="fr-FR"/>
        </w:rPr>
        <w:t>’</w:t>
      </w:r>
      <w:r w:rsidRPr="00FE3F9B" w:rsidR="00002456">
        <w:rPr>
          <w:lang w:val="fr-FR"/>
        </w:rPr>
        <w:t>ont</w:t>
      </w:r>
      <w:r w:rsidRPr="00FE3F9B" w:rsidR="008204C8">
        <w:rPr>
          <w:lang w:val="fr-FR"/>
        </w:rPr>
        <w:t xml:space="preserve"> poussé</w:t>
      </w:r>
      <w:r w:rsidRPr="00FE3F9B" w:rsidR="00002456">
        <w:rPr>
          <w:lang w:val="fr-FR"/>
        </w:rPr>
        <w:t xml:space="preserve">e, [à la suite] </w:t>
      </w:r>
      <w:r w:rsidRPr="00FE3F9B" w:rsidR="008204C8">
        <w:rPr>
          <w:lang w:val="fr-FR"/>
        </w:rPr>
        <w:t>de quoi elle s</w:t>
      </w:r>
      <w:r w:rsidRPr="00FE3F9B" w:rsidR="00FE3F9B">
        <w:rPr>
          <w:lang w:val="fr-FR"/>
        </w:rPr>
        <w:t>’</w:t>
      </w:r>
      <w:r w:rsidRPr="00FE3F9B" w:rsidR="00002456">
        <w:rPr>
          <w:lang w:val="fr-FR"/>
        </w:rPr>
        <w:t>est</w:t>
      </w:r>
      <w:r w:rsidRPr="00FE3F9B" w:rsidR="008204C8">
        <w:rPr>
          <w:lang w:val="fr-FR"/>
        </w:rPr>
        <w:t xml:space="preserve"> cogné la tête contre un mur. [La </w:t>
      </w:r>
      <w:r w:rsidRPr="00FE3F9B" w:rsidR="00002456">
        <w:rPr>
          <w:lang w:val="fr-FR"/>
        </w:rPr>
        <w:t>patiente</w:t>
      </w:r>
      <w:r w:rsidRPr="00FE3F9B" w:rsidR="008204C8">
        <w:rPr>
          <w:lang w:val="fr-FR"/>
        </w:rPr>
        <w:t xml:space="preserve">] avait noté une courte perte de </w:t>
      </w:r>
      <w:r w:rsidRPr="00FE3F9B" w:rsidR="00744BDF">
        <w:rPr>
          <w:lang w:val="fr-FR"/>
        </w:rPr>
        <w:t>connaissance ; [elle]</w:t>
      </w:r>
      <w:r w:rsidRPr="00FE3F9B" w:rsidR="008204C8">
        <w:rPr>
          <w:lang w:val="fr-FR"/>
        </w:rPr>
        <w:t xml:space="preserve"> se plaint de </w:t>
      </w:r>
      <w:r w:rsidRPr="00FE3F9B" w:rsidR="005B5ABB">
        <w:rPr>
          <w:lang w:val="fr-FR"/>
        </w:rPr>
        <w:t>douleurs</w:t>
      </w:r>
      <w:r w:rsidRPr="00FE3F9B" w:rsidR="008204C8">
        <w:rPr>
          <w:lang w:val="fr-FR"/>
        </w:rPr>
        <w:t xml:space="preserve"> dans la région lombair</w:t>
      </w:r>
      <w:r w:rsidRPr="00FE3F9B" w:rsidR="00744BDF">
        <w:rPr>
          <w:lang w:val="fr-FR"/>
        </w:rPr>
        <w:t>e, de vertige</w:t>
      </w:r>
      <w:r w:rsidRPr="00FE3F9B" w:rsidR="008E58B7">
        <w:rPr>
          <w:lang w:val="fr-FR"/>
        </w:rPr>
        <w:t>s</w:t>
      </w:r>
      <w:r w:rsidRPr="00FE3F9B" w:rsidR="005B5ABB">
        <w:rPr>
          <w:lang w:val="fr-FR"/>
        </w:rPr>
        <w:t>, de maux de tête</w:t>
      </w:r>
      <w:r w:rsidRPr="00FE3F9B" w:rsidR="008204C8">
        <w:rPr>
          <w:lang w:val="fr-FR"/>
        </w:rPr>
        <w:t>.</w:t>
      </w:r>
    </w:p>
    <w:p w:rsidRPr="00FE3F9B" w:rsidR="008204C8" w:rsidP="00FE3F9B" w:rsidRDefault="008204C8">
      <w:pPr>
        <w:pStyle w:val="ECHRParaQuote"/>
        <w:rPr>
          <w:lang w:val="fr-FR"/>
        </w:rPr>
      </w:pPr>
      <w:r w:rsidRPr="00FE3F9B">
        <w:rPr>
          <w:lang w:val="fr-FR"/>
        </w:rPr>
        <w:t>Il ressort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attestation du service de traumatologie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arrondissement Avtozavodski que [la </w:t>
      </w:r>
      <w:r w:rsidRPr="00FE3F9B" w:rsidR="008E58B7">
        <w:rPr>
          <w:lang w:val="fr-FR"/>
        </w:rPr>
        <w:t>patiente</w:t>
      </w:r>
      <w:r w:rsidRPr="00FE3F9B">
        <w:rPr>
          <w:lang w:val="fr-FR"/>
        </w:rPr>
        <w:t>] s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y </w:t>
      </w:r>
      <w:r w:rsidRPr="00FE3F9B" w:rsidR="008E58B7">
        <w:rPr>
          <w:lang w:val="fr-FR"/>
        </w:rPr>
        <w:t>est</w:t>
      </w:r>
      <w:r w:rsidRPr="00FE3F9B">
        <w:rPr>
          <w:lang w:val="fr-FR"/>
        </w:rPr>
        <w:t xml:space="preserve"> adressée le 6 novembre 2001. Diagnostic : contusion des tissus mous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arcade droite. (</w:t>
      </w:r>
      <w:r w:rsidRPr="00FE3F9B" w:rsidR="00024EF5">
        <w:rPr>
          <w:lang w:val="fr-FR"/>
        </w:rPr>
        <w:t>...</w:t>
      </w:r>
      <w:r w:rsidRPr="00FE3F9B">
        <w:rPr>
          <w:lang w:val="fr-FR"/>
        </w:rPr>
        <w:t>)</w:t>
      </w:r>
    </w:p>
    <w:p w:rsidRPr="00FE3F9B" w:rsidR="00953EE7" w:rsidP="00FE3F9B" w:rsidRDefault="008204C8">
      <w:pPr>
        <w:pStyle w:val="ECHRParaQuote"/>
        <w:rPr>
          <w:lang w:val="fr-FR"/>
        </w:rPr>
      </w:pPr>
      <w:r w:rsidRPr="00FE3F9B">
        <w:rPr>
          <w:lang w:val="fr-FR"/>
        </w:rPr>
        <w:t>Il ressort de la fiche médical</w:t>
      </w:r>
      <w:r w:rsidRPr="00FE3F9B" w:rsidR="005F3DF8">
        <w:rPr>
          <w:lang w:val="fr-FR"/>
        </w:rPr>
        <w:t>e</w:t>
      </w:r>
      <w:r w:rsidRPr="00FE3F9B">
        <w:rPr>
          <w:lang w:val="fr-FR"/>
        </w:rPr>
        <w:t xml:space="preserve"> de [la </w:t>
      </w:r>
      <w:r w:rsidRPr="00FE3F9B" w:rsidR="008E58B7">
        <w:rPr>
          <w:lang w:val="fr-FR"/>
        </w:rPr>
        <w:t>patiente</w:t>
      </w:r>
      <w:r w:rsidRPr="00FE3F9B">
        <w:rPr>
          <w:lang w:val="fr-FR"/>
        </w:rPr>
        <w:t xml:space="preserve">] établie par le service médical [de </w:t>
      </w:r>
      <w:r w:rsidRPr="00FE3F9B" w:rsidR="008E58B7">
        <w:rPr>
          <w:lang w:val="fr-FR"/>
        </w:rPr>
        <w:t xml:space="preserve">son </w:t>
      </w:r>
      <w:r w:rsidRPr="00FE3F9B">
        <w:rPr>
          <w:lang w:val="fr-FR"/>
        </w:rPr>
        <w:t>employeur</w:t>
      </w:r>
      <w:r w:rsidRPr="00FE3F9B" w:rsidR="005F3DF8">
        <w:rPr>
          <w:lang w:val="fr-FR"/>
        </w:rPr>
        <w:t>] qu</w:t>
      </w:r>
      <w:r w:rsidRPr="00FE3F9B" w:rsidR="00FE3F9B">
        <w:rPr>
          <w:lang w:val="fr-FR"/>
        </w:rPr>
        <w:t>’</w:t>
      </w:r>
      <w:r w:rsidRPr="00FE3F9B" w:rsidR="005F3DF8">
        <w:rPr>
          <w:lang w:val="fr-FR"/>
        </w:rPr>
        <w:t>elle s</w:t>
      </w:r>
      <w:r w:rsidRPr="00FE3F9B" w:rsidR="00FE3F9B">
        <w:rPr>
          <w:lang w:val="fr-FR"/>
        </w:rPr>
        <w:t>’</w:t>
      </w:r>
      <w:r w:rsidRPr="00FE3F9B" w:rsidR="005F3DF8">
        <w:rPr>
          <w:lang w:val="fr-FR"/>
        </w:rPr>
        <w:t>y était adressée le 8 novembre 2001. Diagnostic : contusion du thorax du côté gauche. Pas d</w:t>
      </w:r>
      <w:r w:rsidRPr="00FE3F9B" w:rsidR="00FE3F9B">
        <w:rPr>
          <w:lang w:val="fr-FR"/>
        </w:rPr>
        <w:t>’</w:t>
      </w:r>
      <w:r w:rsidRPr="00FE3F9B" w:rsidR="005F3DF8">
        <w:rPr>
          <w:lang w:val="fr-FR"/>
        </w:rPr>
        <w:t xml:space="preserve">autres </w:t>
      </w:r>
      <w:r w:rsidRPr="00FE3F9B" w:rsidR="008E58B7">
        <w:rPr>
          <w:lang w:val="fr-FR"/>
        </w:rPr>
        <w:t>[indications]</w:t>
      </w:r>
      <w:r w:rsidRPr="00FE3F9B" w:rsidR="005F3DF8">
        <w:rPr>
          <w:lang w:val="fr-FR"/>
        </w:rPr>
        <w:t>.</w:t>
      </w:r>
    </w:p>
    <w:p w:rsidRPr="00FE3F9B" w:rsidR="00D37BC4" w:rsidP="00FE3F9B" w:rsidRDefault="005F3DF8">
      <w:pPr>
        <w:pStyle w:val="ECHRParaQuote"/>
        <w:rPr>
          <w:lang w:val="fr-FR"/>
        </w:rPr>
      </w:pPr>
      <w:r w:rsidRPr="00FE3F9B">
        <w:rPr>
          <w:lang w:val="fr-FR"/>
        </w:rPr>
        <w:t>[Lors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examen] : dans la région infra-orbitaire droite</w:t>
      </w:r>
      <w:r w:rsidRPr="00FE3F9B" w:rsidR="00D37BC4">
        <w:rPr>
          <w:lang w:val="fr-FR"/>
        </w:rPr>
        <w:t xml:space="preserve"> </w:t>
      </w:r>
      <w:r w:rsidRPr="00FE3F9B" w:rsidR="00A20FBB">
        <w:rPr>
          <w:lang w:val="fr-FR"/>
        </w:rPr>
        <w:t>–</w:t>
      </w:r>
      <w:r w:rsidRPr="00FE3F9B" w:rsidR="00D37BC4">
        <w:rPr>
          <w:lang w:val="fr-FR"/>
        </w:rPr>
        <w:t xml:space="preserve"> </w:t>
      </w:r>
      <w:r w:rsidRPr="00FE3F9B">
        <w:rPr>
          <w:lang w:val="fr-FR"/>
        </w:rPr>
        <w:t xml:space="preserve">une éraflure </w:t>
      </w:r>
      <w:r w:rsidRPr="00FE3F9B" w:rsidR="008E58B7">
        <w:rPr>
          <w:lang w:val="fr-FR"/>
        </w:rPr>
        <w:t>de</w:t>
      </w:r>
      <w:r w:rsidRPr="00FE3F9B">
        <w:rPr>
          <w:lang w:val="fr-FR"/>
        </w:rPr>
        <w:t xml:space="preserve"> forme </w:t>
      </w:r>
      <w:r w:rsidRPr="00FE3F9B" w:rsidR="00D37BC4">
        <w:rPr>
          <w:lang w:val="fr-FR"/>
        </w:rPr>
        <w:t>longi</w:t>
      </w:r>
      <w:r w:rsidRPr="00FE3F9B" w:rsidR="005B5ABB">
        <w:rPr>
          <w:lang w:val="fr-FR"/>
        </w:rPr>
        <w:t>tudinale</w:t>
      </w:r>
      <w:r w:rsidRPr="00FE3F9B">
        <w:rPr>
          <w:lang w:val="fr-FR"/>
        </w:rPr>
        <w:t xml:space="preserve"> </w:t>
      </w:r>
      <w:r w:rsidRPr="00FE3F9B" w:rsidR="00986002">
        <w:rPr>
          <w:lang w:val="fr-FR"/>
        </w:rPr>
        <w:t xml:space="preserve">de </w:t>
      </w:r>
      <w:r w:rsidRPr="00FE3F9B" w:rsidR="008E58B7">
        <w:rPr>
          <w:lang w:val="fr-FR"/>
        </w:rPr>
        <w:t xml:space="preserve">1 x </w:t>
      </w:r>
      <w:r w:rsidRPr="00FE3F9B">
        <w:rPr>
          <w:lang w:val="fr-FR"/>
        </w:rPr>
        <w:t>2,2 cm recouverte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une croûte brunâtre fine au niveau de la peau qui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entoure. Une éraflure similaire sur la paupière inférieure droite </w:t>
      </w:r>
      <w:r w:rsidRPr="00FE3F9B" w:rsidR="00D37BC4">
        <w:rPr>
          <w:lang w:val="fr-FR"/>
        </w:rPr>
        <w:t>de 0,4 x 0,8 cm. Sur la partie interne du tiers inférieur de l</w:t>
      </w:r>
      <w:r w:rsidRPr="00FE3F9B" w:rsidR="00FE3F9B">
        <w:rPr>
          <w:lang w:val="fr-FR"/>
        </w:rPr>
        <w:t>’</w:t>
      </w:r>
      <w:r w:rsidRPr="00FE3F9B" w:rsidR="00D37BC4">
        <w:rPr>
          <w:lang w:val="fr-FR"/>
        </w:rPr>
        <w:t>avant-bras droit</w:t>
      </w:r>
      <w:r w:rsidRPr="00FE3F9B" w:rsidR="008E58B7">
        <w:rPr>
          <w:lang w:val="fr-FR"/>
        </w:rPr>
        <w:t xml:space="preserve"> [et]</w:t>
      </w:r>
      <w:r w:rsidRPr="00FE3F9B" w:rsidR="00D37BC4">
        <w:rPr>
          <w:lang w:val="fr-FR"/>
        </w:rPr>
        <w:t xml:space="preserve"> sur la partie frontale du thorax – deux hématomes </w:t>
      </w:r>
      <w:r w:rsidRPr="00FE3F9B" w:rsidR="008E58B7">
        <w:rPr>
          <w:lang w:val="fr-FR"/>
        </w:rPr>
        <w:t>de</w:t>
      </w:r>
      <w:r w:rsidRPr="00FE3F9B" w:rsidR="00D37BC4">
        <w:rPr>
          <w:lang w:val="fr-FR"/>
        </w:rPr>
        <w:t xml:space="preserve"> forme ovale irrégulière, de couleur bleue, de </w:t>
      </w:r>
      <w:r w:rsidRPr="00FE3F9B" w:rsidR="008E58B7">
        <w:rPr>
          <w:lang w:val="fr-FR"/>
        </w:rPr>
        <w:t>2</w:t>
      </w:r>
      <w:r w:rsidRPr="00FE3F9B" w:rsidR="00D37BC4">
        <w:rPr>
          <w:lang w:val="fr-FR"/>
        </w:rPr>
        <w:t xml:space="preserve"> x </w:t>
      </w:r>
      <w:r w:rsidRPr="00FE3F9B" w:rsidR="008E58B7">
        <w:rPr>
          <w:lang w:val="fr-FR"/>
        </w:rPr>
        <w:t>3</w:t>
      </w:r>
      <w:r w:rsidRPr="00FE3F9B" w:rsidR="00D37BC4">
        <w:rPr>
          <w:lang w:val="fr-FR"/>
        </w:rPr>
        <w:t xml:space="preserve"> cm et de 1,5 x 2 cm respectivement. Sensation de douleur lors de la palpation de la surface intérieur</w:t>
      </w:r>
      <w:r w:rsidRPr="00FE3F9B" w:rsidR="0023000A">
        <w:rPr>
          <w:lang w:val="fr-FR"/>
        </w:rPr>
        <w:t>e</w:t>
      </w:r>
      <w:r w:rsidRPr="00FE3F9B" w:rsidR="00D37BC4">
        <w:rPr>
          <w:lang w:val="fr-FR"/>
        </w:rPr>
        <w:t xml:space="preserve"> du poignet gauche [et] de la partie frontale du thorax au niveau de la première et de la deuxième côte (</w:t>
      </w:r>
      <w:r w:rsidRPr="00FE3F9B" w:rsidR="00024EF5">
        <w:rPr>
          <w:lang w:val="fr-FR"/>
        </w:rPr>
        <w:t>...</w:t>
      </w:r>
      <w:r w:rsidRPr="00FE3F9B" w:rsidR="00D37BC4">
        <w:rPr>
          <w:lang w:val="fr-FR"/>
        </w:rPr>
        <w:t>)</w:t>
      </w:r>
    </w:p>
    <w:p w:rsidRPr="00FE3F9B" w:rsidR="007C3C09" w:rsidP="00FE3F9B" w:rsidRDefault="00D37BC4">
      <w:pPr>
        <w:pStyle w:val="ECHRParaQuote"/>
        <w:rPr>
          <w:lang w:val="fr-FR"/>
        </w:rPr>
      </w:pPr>
      <w:r w:rsidRPr="00FE3F9B">
        <w:rPr>
          <w:lang w:val="fr-FR"/>
        </w:rPr>
        <w:t>Il ressort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attestation médicale n</w:t>
      </w:r>
      <w:r w:rsidRPr="00FE3F9B">
        <w:rPr>
          <w:vertAlign w:val="superscript"/>
          <w:lang w:val="fr-FR"/>
        </w:rPr>
        <w:t>o</w:t>
      </w:r>
      <w:r w:rsidRPr="00FE3F9B">
        <w:rPr>
          <w:lang w:val="fr-FR"/>
        </w:rPr>
        <w:t> 17365 délivrée par le service médi</w:t>
      </w:r>
      <w:r w:rsidRPr="00FE3F9B" w:rsidR="005B5ABB">
        <w:rPr>
          <w:lang w:val="fr-FR"/>
        </w:rPr>
        <w:t>c</w:t>
      </w:r>
      <w:r w:rsidRPr="00FE3F9B">
        <w:rPr>
          <w:lang w:val="fr-FR"/>
        </w:rPr>
        <w:t>al [de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employeur de la </w:t>
      </w:r>
      <w:r w:rsidRPr="00FE3F9B" w:rsidR="008E58B7">
        <w:rPr>
          <w:lang w:val="fr-FR"/>
        </w:rPr>
        <w:t>patiente</w:t>
      </w:r>
      <w:r w:rsidRPr="00FE3F9B">
        <w:rPr>
          <w:lang w:val="fr-FR"/>
        </w:rPr>
        <w:t xml:space="preserve">] que le 10 novembre 2001 la </w:t>
      </w:r>
      <w:r w:rsidRPr="00FE3F9B" w:rsidR="008E58B7">
        <w:rPr>
          <w:lang w:val="fr-FR"/>
        </w:rPr>
        <w:t>patiente</w:t>
      </w:r>
      <w:r w:rsidRPr="00FE3F9B">
        <w:rPr>
          <w:lang w:val="fr-FR"/>
        </w:rPr>
        <w:t xml:space="preserve"> s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y est adressée </w:t>
      </w:r>
      <w:r w:rsidRPr="00FE3F9B" w:rsidR="0023000A">
        <w:rPr>
          <w:lang w:val="fr-FR"/>
        </w:rPr>
        <w:t>[en raison] d</w:t>
      </w:r>
      <w:r w:rsidRPr="00FE3F9B" w:rsidR="00FE3F9B">
        <w:rPr>
          <w:lang w:val="fr-FR"/>
        </w:rPr>
        <w:t>’</w:t>
      </w:r>
      <w:r w:rsidRPr="00FE3F9B" w:rsidR="0023000A">
        <w:rPr>
          <w:lang w:val="fr-FR"/>
        </w:rPr>
        <w:t>une contusion</w:t>
      </w:r>
      <w:r w:rsidRPr="00FE3F9B" w:rsidR="00596CF9">
        <w:rPr>
          <w:lang w:val="fr-FR"/>
        </w:rPr>
        <w:t xml:space="preserve"> </w:t>
      </w:r>
      <w:r w:rsidRPr="00FE3F9B" w:rsidR="00F25649">
        <w:rPr>
          <w:lang w:val="fr-FR"/>
        </w:rPr>
        <w:t>à</w:t>
      </w:r>
      <w:r w:rsidRPr="00FE3F9B" w:rsidR="00596CF9">
        <w:rPr>
          <w:lang w:val="fr-FR"/>
        </w:rPr>
        <w:t xml:space="preserve"> la tête [et]</w:t>
      </w:r>
      <w:r w:rsidRPr="00FE3F9B" w:rsidR="0023000A">
        <w:rPr>
          <w:lang w:val="fr-FR"/>
        </w:rPr>
        <w:t xml:space="preserve"> </w:t>
      </w:r>
      <w:r w:rsidRPr="00FE3F9B" w:rsidR="00596CF9">
        <w:rPr>
          <w:lang w:val="fr-FR"/>
        </w:rPr>
        <w:t>d</w:t>
      </w:r>
      <w:r w:rsidRPr="00FE3F9B" w:rsidR="00FE3F9B">
        <w:rPr>
          <w:lang w:val="fr-FR"/>
        </w:rPr>
        <w:t>’</w:t>
      </w:r>
      <w:r w:rsidRPr="00FE3F9B" w:rsidR="00596CF9">
        <w:rPr>
          <w:lang w:val="fr-FR"/>
        </w:rPr>
        <w:t>une dystonie neurocirculatoire</w:t>
      </w:r>
      <w:r w:rsidRPr="00FE3F9B" w:rsidR="0023000A">
        <w:rPr>
          <w:lang w:val="fr-FR"/>
        </w:rPr>
        <w:t xml:space="preserve"> </w:t>
      </w:r>
      <w:r w:rsidRPr="00FE3F9B" w:rsidR="008E58B7">
        <w:rPr>
          <w:lang w:val="fr-FR"/>
        </w:rPr>
        <w:t>de</w:t>
      </w:r>
      <w:r w:rsidRPr="00FE3F9B" w:rsidR="003C5833">
        <w:rPr>
          <w:lang w:val="fr-FR"/>
        </w:rPr>
        <w:t xml:space="preserve"> type hypertonique </w:t>
      </w:r>
      <w:r w:rsidRPr="00FE3F9B" w:rsidR="0023000A">
        <w:rPr>
          <w:lang w:val="fr-FR"/>
        </w:rPr>
        <w:t>(</w:t>
      </w:r>
      <w:r w:rsidRPr="00FE3F9B" w:rsidR="00024EF5">
        <w:rPr>
          <w:lang w:val="fr-FR"/>
        </w:rPr>
        <w:t>...</w:t>
      </w:r>
      <w:r w:rsidRPr="00FE3F9B" w:rsidR="0023000A">
        <w:rPr>
          <w:lang w:val="fr-FR"/>
        </w:rPr>
        <w:t>)</w:t>
      </w:r>
    </w:p>
    <w:p w:rsidRPr="00FE3F9B" w:rsidR="00953EE7" w:rsidP="00FE3F9B" w:rsidRDefault="0023000A">
      <w:pPr>
        <w:pStyle w:val="ECHRParaQuote"/>
        <w:rPr>
          <w:lang w:val="fr-FR"/>
        </w:rPr>
      </w:pPr>
      <w:r w:rsidRPr="00FE3F9B">
        <w:rPr>
          <w:lang w:val="fr-FR"/>
        </w:rPr>
        <w:t>Il ressort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un extrait de la fiche médicale établie par [</w:t>
      </w:r>
      <w:r w:rsidRPr="00FE3F9B" w:rsidR="008E58B7">
        <w:rPr>
          <w:lang w:val="fr-FR"/>
        </w:rPr>
        <w:t xml:space="preserve">le service médical de </w:t>
      </w:r>
      <w:r w:rsidRPr="00FE3F9B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employeur de la </w:t>
      </w:r>
      <w:r w:rsidRPr="00FE3F9B" w:rsidR="008E58B7">
        <w:rPr>
          <w:lang w:val="fr-FR"/>
        </w:rPr>
        <w:t>patiente</w:t>
      </w:r>
      <w:r w:rsidRPr="00FE3F9B">
        <w:rPr>
          <w:lang w:val="fr-FR"/>
        </w:rPr>
        <w:t>]</w:t>
      </w:r>
      <w:r w:rsidRPr="00FE3F9B" w:rsidR="00596CF9">
        <w:rPr>
          <w:lang w:val="fr-FR"/>
        </w:rPr>
        <w:t xml:space="preserve"> </w:t>
      </w:r>
      <w:r w:rsidRPr="00FE3F9B">
        <w:rPr>
          <w:lang w:val="fr-FR"/>
        </w:rPr>
        <w:t xml:space="preserve">que le 11 novembre 2001 la </w:t>
      </w:r>
      <w:r w:rsidRPr="00FE3F9B" w:rsidR="006D6FF5">
        <w:rPr>
          <w:lang w:val="fr-FR"/>
        </w:rPr>
        <w:t>patiente</w:t>
      </w:r>
      <w:r w:rsidRPr="00FE3F9B">
        <w:rPr>
          <w:lang w:val="fr-FR"/>
        </w:rPr>
        <w:t xml:space="preserve"> s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y est adressée avec des plaintes de vertige</w:t>
      </w:r>
      <w:r w:rsidRPr="00FE3F9B" w:rsidR="008E58B7">
        <w:rPr>
          <w:lang w:val="fr-FR"/>
        </w:rPr>
        <w:t>s et</w:t>
      </w:r>
      <w:r w:rsidRPr="00FE3F9B">
        <w:rPr>
          <w:lang w:val="fr-FR"/>
        </w:rPr>
        <w:t xml:space="preserve"> maux de tête. [Lors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examen] : PA 140/100 mmHg. Pupilles régulières, pas de nystagmus, visage symétrique. État neurologique sans symptômes locaux ou méningitiques. Diagnostic : contusion </w:t>
      </w:r>
      <w:r w:rsidRPr="00FE3F9B" w:rsidR="00F25649">
        <w:rPr>
          <w:lang w:val="fr-FR"/>
        </w:rPr>
        <w:t>à</w:t>
      </w:r>
      <w:r w:rsidRPr="00FE3F9B" w:rsidR="003C5833">
        <w:rPr>
          <w:lang w:val="fr-FR"/>
        </w:rPr>
        <w:t xml:space="preserve"> la tête sur fond d</w:t>
      </w:r>
      <w:r w:rsidRPr="00FE3F9B" w:rsidR="00FE3F9B">
        <w:rPr>
          <w:lang w:val="fr-FR"/>
        </w:rPr>
        <w:t>’</w:t>
      </w:r>
      <w:r w:rsidRPr="00FE3F9B" w:rsidR="003C5833">
        <w:rPr>
          <w:lang w:val="fr-FR"/>
        </w:rPr>
        <w:t xml:space="preserve">une dystonie neurocirculatoire </w:t>
      </w:r>
      <w:r w:rsidRPr="00FE3F9B" w:rsidR="008E58B7">
        <w:rPr>
          <w:lang w:val="fr-FR"/>
        </w:rPr>
        <w:t xml:space="preserve">de </w:t>
      </w:r>
      <w:r w:rsidRPr="00FE3F9B" w:rsidR="003C5833">
        <w:rPr>
          <w:lang w:val="fr-FR"/>
        </w:rPr>
        <w:t>type hypertonique, état asthénique et névrotique.</w:t>
      </w:r>
    </w:p>
    <w:p w:rsidRPr="00FE3F9B" w:rsidR="003C5833" w:rsidP="00FE3F9B" w:rsidRDefault="003C5833">
      <w:pPr>
        <w:pStyle w:val="ECHRParaQuote"/>
        <w:rPr>
          <w:lang w:val="fr-FR"/>
        </w:rPr>
      </w:pPr>
      <w:r w:rsidRPr="00FE3F9B">
        <w:rPr>
          <w:lang w:val="fr-FR"/>
        </w:rPr>
        <w:t>Conclusion</w:t>
      </w:r>
    </w:p>
    <w:p w:rsidRPr="00FE3F9B" w:rsidR="00953EE7" w:rsidP="00FE3F9B" w:rsidRDefault="003C5833">
      <w:pPr>
        <w:pStyle w:val="ECHRParaQuote"/>
        <w:rPr>
          <w:lang w:val="fr-FR"/>
        </w:rPr>
      </w:pPr>
      <w:r w:rsidRPr="00FE3F9B">
        <w:rPr>
          <w:lang w:val="fr-FR"/>
        </w:rPr>
        <w:t xml:space="preserve">On constate sur [la </w:t>
      </w:r>
      <w:r w:rsidRPr="00FE3F9B" w:rsidR="008E58B7">
        <w:rPr>
          <w:lang w:val="fr-FR"/>
        </w:rPr>
        <w:t>patiente</w:t>
      </w:r>
      <w:r w:rsidRPr="00FE3F9B">
        <w:rPr>
          <w:lang w:val="fr-FR"/>
        </w:rPr>
        <w:t xml:space="preserve">] : des éraflures </w:t>
      </w:r>
      <w:r w:rsidRPr="00FE3F9B" w:rsidR="008E58B7">
        <w:rPr>
          <w:lang w:val="fr-FR"/>
        </w:rPr>
        <w:t>a</w:t>
      </w:r>
      <w:r w:rsidRPr="00FE3F9B">
        <w:rPr>
          <w:lang w:val="fr-FR"/>
        </w:rPr>
        <w:t xml:space="preserve">u visage, des hématomes </w:t>
      </w:r>
      <w:r w:rsidRPr="00FE3F9B" w:rsidR="008E58B7">
        <w:rPr>
          <w:lang w:val="fr-FR"/>
        </w:rPr>
        <w:t>sur le</w:t>
      </w:r>
      <w:r w:rsidRPr="00FE3F9B">
        <w:rPr>
          <w:lang w:val="fr-FR"/>
        </w:rPr>
        <w:t xml:space="preserve"> membre supérieur droit ainsi que </w:t>
      </w:r>
      <w:r w:rsidRPr="00FE3F9B" w:rsidR="008E58B7">
        <w:rPr>
          <w:lang w:val="fr-FR"/>
        </w:rPr>
        <w:t>sur</w:t>
      </w:r>
      <w:r w:rsidRPr="00FE3F9B">
        <w:rPr>
          <w:lang w:val="fr-FR"/>
        </w:rPr>
        <w:t xml:space="preserve"> la partie gauche du thorax, une contusion des tissus mous de la partie gauche du thorax. Ces lésions </w:t>
      </w:r>
      <w:r w:rsidRPr="00FE3F9B" w:rsidR="008E58B7">
        <w:rPr>
          <w:lang w:val="fr-FR"/>
        </w:rPr>
        <w:t>ont</w:t>
      </w:r>
      <w:r w:rsidRPr="00FE3F9B">
        <w:rPr>
          <w:lang w:val="fr-FR"/>
        </w:rPr>
        <w:t xml:space="preserve"> été </w:t>
      </w:r>
      <w:r w:rsidRPr="00FE3F9B" w:rsidR="008E58B7">
        <w:rPr>
          <w:lang w:val="fr-FR"/>
        </w:rPr>
        <w:t>provoquées</w:t>
      </w:r>
      <w:r w:rsidRPr="00FE3F9B">
        <w:rPr>
          <w:lang w:val="fr-FR"/>
        </w:rPr>
        <w:t xml:space="preserve"> par des objets </w:t>
      </w:r>
      <w:r w:rsidRPr="00FE3F9B" w:rsidR="00B74FED">
        <w:rPr>
          <w:lang w:val="fr-FR"/>
        </w:rPr>
        <w:t>contondants</w:t>
      </w:r>
      <w:r w:rsidRPr="00FE3F9B" w:rsidR="006D6FF5">
        <w:rPr>
          <w:lang w:val="fr-FR"/>
        </w:rPr>
        <w:t xml:space="preserve">, </w:t>
      </w:r>
      <w:r w:rsidRPr="00FE3F9B" w:rsidR="008E58B7">
        <w:rPr>
          <w:lang w:val="fr-FR"/>
        </w:rPr>
        <w:t>[caus</w:t>
      </w:r>
      <w:r w:rsidRPr="00FE3F9B" w:rsidR="006D6FF5">
        <w:rPr>
          <w:lang w:val="fr-FR"/>
        </w:rPr>
        <w:t>ant</w:t>
      </w:r>
      <w:r w:rsidRPr="00FE3F9B" w:rsidR="008E58B7">
        <w:rPr>
          <w:lang w:val="fr-FR"/>
        </w:rPr>
        <w:t xml:space="preserve"> un dommage à la</w:t>
      </w:r>
      <w:r w:rsidRPr="00FE3F9B">
        <w:rPr>
          <w:lang w:val="fr-FR"/>
        </w:rPr>
        <w:t xml:space="preserve"> santé </w:t>
      </w:r>
      <w:r w:rsidRPr="00FE3F9B" w:rsidR="00B74FED">
        <w:rPr>
          <w:lang w:val="fr-FR"/>
        </w:rPr>
        <w:t xml:space="preserve">de la </w:t>
      </w:r>
      <w:r w:rsidRPr="00FE3F9B" w:rsidR="008E58B7">
        <w:rPr>
          <w:lang w:val="fr-FR"/>
        </w:rPr>
        <w:t>patiente</w:t>
      </w:r>
      <w:r w:rsidRPr="00FE3F9B" w:rsidR="00B74FED">
        <w:rPr>
          <w:lang w:val="fr-FR"/>
        </w:rPr>
        <w:t xml:space="preserve">] </w:t>
      </w:r>
      <w:r w:rsidRPr="00FE3F9B">
        <w:rPr>
          <w:lang w:val="fr-FR"/>
        </w:rPr>
        <w:t>de gravité moyenne, très probablement 3-4 jours avant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examen</w:t>
      </w:r>
      <w:r w:rsidRPr="00FE3F9B" w:rsidR="00B74FED">
        <w:rPr>
          <w:lang w:val="fr-FR"/>
        </w:rPr>
        <w:t xml:space="preserve"> [de la </w:t>
      </w:r>
      <w:r w:rsidRPr="00FE3F9B" w:rsidR="008E58B7">
        <w:rPr>
          <w:lang w:val="fr-FR"/>
        </w:rPr>
        <w:t>patiente</w:t>
      </w:r>
      <w:r w:rsidRPr="00FE3F9B" w:rsidR="00B74FED">
        <w:rPr>
          <w:lang w:val="fr-FR"/>
        </w:rPr>
        <w:t>]</w:t>
      </w:r>
      <w:r w:rsidRPr="00FE3F9B">
        <w:rPr>
          <w:lang w:val="fr-FR"/>
        </w:rPr>
        <w:t>.</w:t>
      </w:r>
    </w:p>
    <w:p w:rsidRPr="00FE3F9B" w:rsidR="00953EE7" w:rsidP="00FE3F9B" w:rsidRDefault="00D151A6">
      <w:pPr>
        <w:pStyle w:val="ECHRParaQuote"/>
        <w:rPr>
          <w:lang w:val="fr-FR"/>
        </w:rPr>
      </w:pPr>
      <w:r w:rsidRPr="00FE3F9B">
        <w:rPr>
          <w:lang w:val="fr-FR"/>
        </w:rPr>
        <w:t>[La</w:t>
      </w:r>
      <w:r w:rsidRPr="00FE3F9B" w:rsidR="0061342A">
        <w:rPr>
          <w:lang w:val="fr-FR"/>
        </w:rPr>
        <w:t xml:space="preserve">] </w:t>
      </w:r>
      <w:r w:rsidRPr="00FE3F9B" w:rsidR="003C5833">
        <w:rPr>
          <w:lang w:val="fr-FR"/>
        </w:rPr>
        <w:t xml:space="preserve">dystonie neurocirculatoire </w:t>
      </w:r>
      <w:r w:rsidRPr="00FE3F9B" w:rsidR="008E58B7">
        <w:rPr>
          <w:lang w:val="fr-FR"/>
        </w:rPr>
        <w:t>de</w:t>
      </w:r>
      <w:r w:rsidRPr="00FE3F9B" w:rsidR="003C5833">
        <w:rPr>
          <w:lang w:val="fr-FR"/>
        </w:rPr>
        <w:t xml:space="preserve"> type hypertonique est une maladie concomitante qui n</w:t>
      </w:r>
      <w:r w:rsidRPr="00FE3F9B" w:rsidR="00FE3F9B">
        <w:rPr>
          <w:lang w:val="fr-FR"/>
        </w:rPr>
        <w:t>’</w:t>
      </w:r>
      <w:r w:rsidRPr="00FE3F9B" w:rsidR="003C5833">
        <w:rPr>
          <w:lang w:val="fr-FR"/>
        </w:rPr>
        <w:t>a pas d</w:t>
      </w:r>
      <w:r w:rsidRPr="00FE3F9B" w:rsidR="00FE3F9B">
        <w:rPr>
          <w:lang w:val="fr-FR"/>
        </w:rPr>
        <w:t>’</w:t>
      </w:r>
      <w:r w:rsidRPr="00FE3F9B" w:rsidR="003C5833">
        <w:rPr>
          <w:lang w:val="fr-FR"/>
        </w:rPr>
        <w:t xml:space="preserve">origine traumatique et </w:t>
      </w:r>
      <w:r w:rsidRPr="00FE3F9B">
        <w:rPr>
          <w:lang w:val="fr-FR"/>
        </w:rPr>
        <w:t xml:space="preserve">[ce diagnostic] </w:t>
      </w:r>
      <w:r w:rsidRPr="00FE3F9B" w:rsidR="003C5833">
        <w:rPr>
          <w:lang w:val="fr-FR"/>
        </w:rPr>
        <w:t>n</w:t>
      </w:r>
      <w:r w:rsidRPr="00FE3F9B" w:rsidR="00FE3F9B">
        <w:rPr>
          <w:lang w:val="fr-FR"/>
        </w:rPr>
        <w:t>’</w:t>
      </w:r>
      <w:r w:rsidRPr="00FE3F9B" w:rsidR="003C5833">
        <w:rPr>
          <w:lang w:val="fr-FR"/>
        </w:rPr>
        <w:t>a donc pas été pris en compte lors de l</w:t>
      </w:r>
      <w:r w:rsidRPr="00FE3F9B" w:rsidR="00FE3F9B">
        <w:rPr>
          <w:lang w:val="fr-FR"/>
        </w:rPr>
        <w:t>’</w:t>
      </w:r>
      <w:r w:rsidRPr="00FE3F9B" w:rsidR="003C5833">
        <w:rPr>
          <w:lang w:val="fr-FR"/>
        </w:rPr>
        <w:t xml:space="preserve">évaluation de la gravité du dommage à la santé. Le diagnostic de contusion </w:t>
      </w:r>
      <w:r w:rsidRPr="00FE3F9B" w:rsidR="00F25649">
        <w:rPr>
          <w:lang w:val="fr-FR"/>
        </w:rPr>
        <w:t>à</w:t>
      </w:r>
      <w:r w:rsidRPr="00FE3F9B" w:rsidR="003C5833">
        <w:rPr>
          <w:lang w:val="fr-FR"/>
        </w:rPr>
        <w:t xml:space="preserve"> la tête n</w:t>
      </w:r>
      <w:r w:rsidRPr="00FE3F9B" w:rsidR="00FE3F9B">
        <w:rPr>
          <w:lang w:val="fr-FR"/>
        </w:rPr>
        <w:t>’</w:t>
      </w:r>
      <w:r w:rsidRPr="00FE3F9B" w:rsidR="003C5833">
        <w:rPr>
          <w:lang w:val="fr-FR"/>
        </w:rPr>
        <w:t>est pas confirmé par des données cliniques objectives dans la documentation médicale soumise et n</w:t>
      </w:r>
      <w:r w:rsidRPr="00FE3F9B" w:rsidR="00FE3F9B">
        <w:rPr>
          <w:lang w:val="fr-FR"/>
        </w:rPr>
        <w:t>’</w:t>
      </w:r>
      <w:r w:rsidRPr="00FE3F9B" w:rsidR="003C5833">
        <w:rPr>
          <w:lang w:val="fr-FR"/>
        </w:rPr>
        <w:t>a pas</w:t>
      </w:r>
      <w:r w:rsidRPr="00FE3F9B" w:rsidR="003A40EF">
        <w:rPr>
          <w:lang w:val="fr-FR"/>
        </w:rPr>
        <w:t xml:space="preserve"> non plus </w:t>
      </w:r>
      <w:r w:rsidRPr="00FE3F9B" w:rsidR="003C5833">
        <w:rPr>
          <w:lang w:val="fr-FR"/>
        </w:rPr>
        <w:t xml:space="preserve">été </w:t>
      </w:r>
      <w:r w:rsidRPr="00FE3F9B" w:rsidR="003A40EF">
        <w:rPr>
          <w:lang w:val="fr-FR"/>
        </w:rPr>
        <w:t>pris en compte lors de l</w:t>
      </w:r>
      <w:r w:rsidRPr="00FE3F9B" w:rsidR="00FE3F9B">
        <w:rPr>
          <w:lang w:val="fr-FR"/>
        </w:rPr>
        <w:t>’</w:t>
      </w:r>
      <w:r w:rsidRPr="00FE3F9B" w:rsidR="003A40EF">
        <w:rPr>
          <w:lang w:val="fr-FR"/>
        </w:rPr>
        <w:t>évaluation de la gravité du dommage à la santé</w:t>
      </w:r>
      <w:r w:rsidRPr="00FE3F9B" w:rsidR="009075E6">
        <w:rPr>
          <w:lang w:val="fr-FR"/>
        </w:rPr>
        <w:t> »</w:t>
      </w:r>
      <w:r w:rsidRPr="00FE3F9B" w:rsidR="003A40EF">
        <w:rPr>
          <w:lang w:val="fr-FR"/>
        </w:rPr>
        <w:t>.</w:t>
      </w:r>
    </w:p>
    <w:p w:rsidRPr="00FE3F9B" w:rsidR="00953EE7" w:rsidP="00FE3F9B" w:rsidRDefault="00533931">
      <w:pPr>
        <w:pStyle w:val="ECHRHeading2"/>
        <w:rPr>
          <w:lang w:val="fr-FR"/>
        </w:rPr>
      </w:pPr>
      <w:r w:rsidRPr="00FE3F9B">
        <w:rPr>
          <w:lang w:val="fr-FR"/>
        </w:rPr>
        <w:t>B.  </w:t>
      </w:r>
      <w:r w:rsidRPr="00FE3F9B" w:rsidR="003A40EF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 w:rsidR="003A40EF">
        <w:rPr>
          <w:lang w:val="fr-FR"/>
        </w:rPr>
        <w:t>enquête concernant les mauvais traitements allégués</w:t>
      </w:r>
    </w:p>
    <w:p w:rsidRPr="00FE3F9B" w:rsidR="00953EE7" w:rsidP="00FE3F9B" w:rsidRDefault="003A40EF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16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Le 8 novembre 2001, la requérante adressa une plainte écrite au procureur</w:t>
      </w:r>
      <w:r w:rsidRPr="00FE3F9B" w:rsidR="0093467A">
        <w:rPr>
          <w:lang w:val="fr-FR"/>
        </w:rPr>
        <w:t>,</w:t>
      </w:r>
      <w:r w:rsidRPr="00FE3F9B">
        <w:rPr>
          <w:lang w:val="fr-FR"/>
        </w:rPr>
        <w:t xml:space="preserve"> dans laquelle elle </w:t>
      </w:r>
      <w:r w:rsidRPr="00FE3F9B" w:rsidR="0093467A">
        <w:rPr>
          <w:lang w:val="fr-FR"/>
        </w:rPr>
        <w:t>dénonçait des</w:t>
      </w:r>
      <w:r w:rsidRPr="00FE3F9B">
        <w:rPr>
          <w:lang w:val="fr-FR"/>
        </w:rPr>
        <w:t xml:space="preserve"> mauvais traitements qui lui auraient été infligés </w:t>
      </w:r>
      <w:r w:rsidRPr="00FE3F9B" w:rsidR="00744BDF">
        <w:rPr>
          <w:lang w:val="fr-FR"/>
        </w:rPr>
        <w:t xml:space="preserve">par P. et T. </w:t>
      </w:r>
      <w:r w:rsidRPr="00FE3F9B">
        <w:rPr>
          <w:lang w:val="fr-FR"/>
        </w:rPr>
        <w:t>le 6 novembre 2001.</w:t>
      </w:r>
    </w:p>
    <w:bookmarkStart w:name="verif144" w:id="9"/>
    <w:p w:rsidRPr="00FE3F9B" w:rsidR="0029766D" w:rsidP="00FE3F9B" w:rsidRDefault="00F2495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17</w:t>
      </w:r>
      <w:r w:rsidRPr="00FE3F9B">
        <w:rPr>
          <w:lang w:val="fr-FR"/>
        </w:rPr>
        <w:fldChar w:fldCharType="end"/>
      </w:r>
      <w:bookmarkEnd w:id="9"/>
      <w:r w:rsidRPr="00FE3F9B">
        <w:rPr>
          <w:lang w:val="fr-FR"/>
        </w:rPr>
        <w:t>.  </w:t>
      </w:r>
      <w:r w:rsidRPr="00FE3F9B" w:rsidR="004D00C8">
        <w:rPr>
          <w:lang w:val="fr-FR"/>
        </w:rPr>
        <w:t>Les autorités chargées de l</w:t>
      </w:r>
      <w:r w:rsidRPr="00FE3F9B" w:rsidR="00FE3F9B">
        <w:rPr>
          <w:lang w:val="fr-FR"/>
        </w:rPr>
        <w:t>’</w:t>
      </w:r>
      <w:r w:rsidRPr="00FE3F9B" w:rsidR="004D00C8">
        <w:rPr>
          <w:lang w:val="fr-FR"/>
        </w:rPr>
        <w:t xml:space="preserve">instruction </w:t>
      </w:r>
      <w:r w:rsidRPr="00FE3F9B" w:rsidR="0061342A">
        <w:rPr>
          <w:lang w:val="fr-FR"/>
        </w:rPr>
        <w:t xml:space="preserve">décidèrent alors de </w:t>
      </w:r>
      <w:r w:rsidRPr="00FE3F9B" w:rsidR="004D00C8">
        <w:rPr>
          <w:lang w:val="fr-FR"/>
        </w:rPr>
        <w:t>se pench</w:t>
      </w:r>
      <w:r w:rsidRPr="00FE3F9B" w:rsidR="0061342A">
        <w:rPr>
          <w:lang w:val="fr-FR"/>
        </w:rPr>
        <w:t xml:space="preserve">er </w:t>
      </w:r>
      <w:r w:rsidRPr="00FE3F9B" w:rsidR="004D00C8">
        <w:rPr>
          <w:lang w:val="fr-FR"/>
        </w:rPr>
        <w:t>sur les allégations de la requérante en recourant à la procédure d</w:t>
      </w:r>
      <w:r w:rsidRPr="00FE3F9B" w:rsidR="00FE3F9B">
        <w:rPr>
          <w:lang w:val="fr-FR"/>
        </w:rPr>
        <w:t>’</w:t>
      </w:r>
      <w:r w:rsidRPr="00FE3F9B" w:rsidR="00D364BE">
        <w:rPr>
          <w:lang w:val="fr-FR"/>
        </w:rPr>
        <w:t>enquête</w:t>
      </w:r>
      <w:r w:rsidRPr="00FE3F9B" w:rsidR="004D00C8">
        <w:rPr>
          <w:lang w:val="fr-FR"/>
        </w:rPr>
        <w:t xml:space="preserve"> préliminaire sur la base de l</w:t>
      </w:r>
      <w:r w:rsidRPr="00FE3F9B" w:rsidR="00FE3F9B">
        <w:rPr>
          <w:lang w:val="fr-FR"/>
        </w:rPr>
        <w:t>’</w:t>
      </w:r>
      <w:r w:rsidRPr="00FE3F9B" w:rsidR="004D00C8">
        <w:rPr>
          <w:lang w:val="fr-FR"/>
        </w:rPr>
        <w:t>article 144 du code de procédure pénale</w:t>
      </w:r>
      <w:r w:rsidRPr="00FE3F9B" w:rsidR="0093467A">
        <w:rPr>
          <w:lang w:val="fr-FR"/>
        </w:rPr>
        <w:t xml:space="preserve"> (CPP).</w:t>
      </w:r>
    </w:p>
    <w:bookmarkStart w:name="fixexp" w:id="10"/>
    <w:p w:rsidRPr="00FE3F9B" w:rsidR="00953EE7" w:rsidP="00FE3F9B" w:rsidRDefault="0029766D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18</w:t>
      </w:r>
      <w:r w:rsidRPr="00FE3F9B">
        <w:rPr>
          <w:lang w:val="fr-FR"/>
        </w:rPr>
        <w:fldChar w:fldCharType="end"/>
      </w:r>
      <w:bookmarkEnd w:id="10"/>
      <w:r w:rsidRPr="00FE3F9B">
        <w:rPr>
          <w:lang w:val="fr-FR"/>
        </w:rPr>
        <w:t>.  </w:t>
      </w:r>
      <w:r w:rsidRPr="00FE3F9B" w:rsidR="0061342A">
        <w:rPr>
          <w:lang w:val="fr-FR"/>
        </w:rPr>
        <w:t>Ainsi, également le</w:t>
      </w:r>
      <w:r w:rsidRPr="00FE3F9B" w:rsidR="003A40EF">
        <w:rPr>
          <w:lang w:val="fr-FR"/>
        </w:rPr>
        <w:t xml:space="preserve"> </w:t>
      </w:r>
      <w:r w:rsidRPr="00FE3F9B" w:rsidR="004D00C8">
        <w:rPr>
          <w:lang w:val="fr-FR"/>
        </w:rPr>
        <w:t>8 novembre 2001</w:t>
      </w:r>
      <w:r w:rsidRPr="00FE3F9B" w:rsidR="003A40EF">
        <w:rPr>
          <w:lang w:val="fr-FR"/>
        </w:rPr>
        <w:t>, l</w:t>
      </w:r>
      <w:r w:rsidRPr="00FE3F9B" w:rsidR="00FE3F9B">
        <w:rPr>
          <w:lang w:val="fr-FR"/>
        </w:rPr>
        <w:t>’</w:t>
      </w:r>
      <w:r w:rsidRPr="00FE3F9B" w:rsidR="003A40EF">
        <w:rPr>
          <w:lang w:val="fr-FR"/>
        </w:rPr>
        <w:t>enquêteur M. du service du procureur de l</w:t>
      </w:r>
      <w:r w:rsidRPr="00FE3F9B" w:rsidR="00FE3F9B">
        <w:rPr>
          <w:lang w:val="fr-FR"/>
        </w:rPr>
        <w:t>’</w:t>
      </w:r>
      <w:r w:rsidRPr="00FE3F9B" w:rsidR="003A40EF">
        <w:rPr>
          <w:lang w:val="fr-FR"/>
        </w:rPr>
        <w:t xml:space="preserve">arrondissement Avtozavodski de Nijni Novgorod </w:t>
      </w:r>
      <w:r w:rsidRPr="00FE3F9B" w:rsidR="009075E6">
        <w:rPr>
          <w:lang w:val="fr-FR"/>
        </w:rPr>
        <w:t>ordonna un examen médicolégal de la requérante (</w:t>
      </w:r>
      <w:r w:rsidRPr="00FE3F9B" w:rsidR="0093467A">
        <w:rPr>
          <w:lang w:val="fr-FR"/>
        </w:rPr>
        <w:t>pour les conclusions de l</w:t>
      </w:r>
      <w:r w:rsidRPr="00FE3F9B" w:rsidR="00FE3F9B">
        <w:rPr>
          <w:lang w:val="fr-FR"/>
        </w:rPr>
        <w:t>’</w:t>
      </w:r>
      <w:r w:rsidRPr="00FE3F9B" w:rsidR="0093467A">
        <w:rPr>
          <w:lang w:val="fr-FR"/>
        </w:rPr>
        <w:t xml:space="preserve">expert, voir </w:t>
      </w:r>
      <w:r w:rsidRPr="00FE3F9B" w:rsidR="009075E6">
        <w:rPr>
          <w:lang w:val="fr-FR"/>
        </w:rPr>
        <w:t xml:space="preserve">paragraphe </w:t>
      </w:r>
      <w:r w:rsidRPr="00FE3F9B" w:rsidR="000B085D">
        <w:rPr>
          <w:lang w:val="fr-FR"/>
        </w:rPr>
        <w:fldChar w:fldCharType="begin"/>
      </w:r>
      <w:r w:rsidRPr="00FE3F9B" w:rsidR="000B085D">
        <w:rPr>
          <w:lang w:val="fr-FR"/>
        </w:rPr>
        <w:instrText xml:space="preserve"> REF rappexp19nov \h </w:instrText>
      </w:r>
      <w:r w:rsidRPr="00FE3F9B" w:rsidR="000B085D">
        <w:rPr>
          <w:lang w:val="fr-FR"/>
        </w:rPr>
      </w:r>
      <w:r w:rsidRPr="00FE3F9B" w:rsidR="000B085D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15</w:t>
      </w:r>
      <w:r w:rsidRPr="00FE3F9B" w:rsidR="000B085D">
        <w:rPr>
          <w:lang w:val="fr-FR"/>
        </w:rPr>
        <w:fldChar w:fldCharType="end"/>
      </w:r>
      <w:r w:rsidRPr="00FE3F9B" w:rsidR="000B085D">
        <w:rPr>
          <w:lang w:val="fr-FR"/>
        </w:rPr>
        <w:t xml:space="preserve"> </w:t>
      </w:r>
      <w:r w:rsidRPr="00FE3F9B" w:rsidR="009075E6">
        <w:rPr>
          <w:lang w:val="fr-FR"/>
        </w:rPr>
        <w:t>ci-dessus).</w:t>
      </w:r>
    </w:p>
    <w:p w:rsidRPr="00FE3F9B" w:rsidR="00953EE7" w:rsidP="00FE3F9B" w:rsidRDefault="0029766D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19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Le 10 novembre 2001, l</w:t>
      </w:r>
      <w:r w:rsidRPr="00FE3F9B" w:rsidR="00FE3F9B">
        <w:rPr>
          <w:lang w:val="fr-FR"/>
        </w:rPr>
        <w:t>’</w:t>
      </w:r>
      <w:r w:rsidRPr="00FE3F9B" w:rsidR="009075E6">
        <w:rPr>
          <w:lang w:val="fr-FR"/>
        </w:rPr>
        <w:t>enquêteur entendit les explications (</w:t>
      </w:r>
      <w:r w:rsidRPr="00FE3F9B" w:rsidR="009075E6">
        <w:rPr>
          <w:i/>
          <w:iCs/>
        </w:rPr>
        <w:t>объяснения</w:t>
      </w:r>
      <w:r w:rsidRPr="00FE3F9B" w:rsidR="009075E6">
        <w:rPr>
          <w:iCs/>
          <w:lang w:val="fr-FR"/>
        </w:rPr>
        <w:t xml:space="preserve">) </w:t>
      </w:r>
      <w:r w:rsidRPr="00FE3F9B" w:rsidR="009075E6">
        <w:rPr>
          <w:lang w:val="fr-FR"/>
        </w:rPr>
        <w:t xml:space="preserve">des policiers P. </w:t>
      </w:r>
      <w:r w:rsidRPr="00FE3F9B" w:rsidR="000B085D">
        <w:rPr>
          <w:lang w:val="fr-FR"/>
        </w:rPr>
        <w:t>et T.</w:t>
      </w:r>
      <w:r w:rsidRPr="00FE3F9B" w:rsidR="00FE4F13">
        <w:rPr>
          <w:lang w:val="fr-FR"/>
        </w:rPr>
        <w:t>,</w:t>
      </w:r>
      <w:r w:rsidRPr="00FE3F9B" w:rsidR="000B085D">
        <w:rPr>
          <w:lang w:val="fr-FR"/>
        </w:rPr>
        <w:t xml:space="preserve"> </w:t>
      </w:r>
      <w:r w:rsidRPr="00FE3F9B" w:rsidR="009075E6">
        <w:rPr>
          <w:lang w:val="fr-FR"/>
        </w:rPr>
        <w:t xml:space="preserve">qui </w:t>
      </w:r>
      <w:r w:rsidRPr="00FE3F9B" w:rsidR="00B176AB">
        <w:rPr>
          <w:lang w:val="fr-FR"/>
        </w:rPr>
        <w:t>relatè</w:t>
      </w:r>
      <w:r w:rsidRPr="00FE3F9B" w:rsidR="00FE4F13">
        <w:rPr>
          <w:lang w:val="fr-FR"/>
        </w:rPr>
        <w:t>rent</w:t>
      </w:r>
      <w:r w:rsidRPr="00FE3F9B" w:rsidR="009075E6">
        <w:rPr>
          <w:lang w:val="fr-FR"/>
        </w:rPr>
        <w:t xml:space="preserve"> les év</w:t>
      </w:r>
      <w:r w:rsidRPr="00FE3F9B" w:rsidR="001F7493">
        <w:rPr>
          <w:lang w:val="fr-FR"/>
        </w:rPr>
        <w:t xml:space="preserve">ènements </w:t>
      </w:r>
      <w:r w:rsidRPr="00FE3F9B" w:rsidR="00FE4F13">
        <w:rPr>
          <w:lang w:val="fr-FR"/>
        </w:rPr>
        <w:t>survenus le</w:t>
      </w:r>
      <w:r w:rsidRPr="00FE3F9B" w:rsidR="001F7493">
        <w:rPr>
          <w:lang w:val="fr-FR"/>
        </w:rPr>
        <w:t xml:space="preserve"> 6 </w:t>
      </w:r>
      <w:r w:rsidRPr="00FE3F9B" w:rsidR="009075E6">
        <w:rPr>
          <w:lang w:val="fr-FR"/>
        </w:rPr>
        <w:t xml:space="preserve">novembre 2001 </w:t>
      </w:r>
      <w:r w:rsidRPr="00FE3F9B" w:rsidR="00B176AB">
        <w:rPr>
          <w:lang w:val="fr-FR"/>
        </w:rPr>
        <w:t>dans les circonstances décrites par le Gouvernement dans sa</w:t>
      </w:r>
      <w:r w:rsidRPr="00FE3F9B" w:rsidR="00C43C6A">
        <w:rPr>
          <w:lang w:val="fr-FR"/>
        </w:rPr>
        <w:t xml:space="preserve"> version des faits présentée</w:t>
      </w:r>
      <w:r w:rsidRPr="00FE3F9B" w:rsidR="00B176AB">
        <w:rPr>
          <w:lang w:val="fr-FR"/>
        </w:rPr>
        <w:t xml:space="preserve"> </w:t>
      </w:r>
      <w:r w:rsidRPr="00FE3F9B" w:rsidR="009075E6">
        <w:rPr>
          <w:lang w:val="fr-FR"/>
        </w:rPr>
        <w:t xml:space="preserve">devant la Cour (paragraphes </w:t>
      </w:r>
      <w:r w:rsidRPr="00FE3F9B" w:rsidR="00F24957">
        <w:rPr>
          <w:lang w:val="fr-FR"/>
        </w:rPr>
        <w:fldChar w:fldCharType="begin"/>
      </w:r>
      <w:r w:rsidRPr="00FE3F9B" w:rsidR="00F24957">
        <w:rPr>
          <w:lang w:val="fr-FR"/>
        </w:rPr>
        <w:instrText xml:space="preserve"> REF versgouv1 \h </w:instrText>
      </w:r>
      <w:r w:rsidRPr="00FE3F9B" w:rsidR="009D0C24">
        <w:rPr>
          <w:lang w:val="fr-FR"/>
        </w:rPr>
        <w:instrText xml:space="preserve"> \* MERGEFORMAT </w:instrText>
      </w:r>
      <w:r w:rsidRPr="00FE3F9B" w:rsidR="00F24957">
        <w:rPr>
          <w:lang w:val="fr-FR"/>
        </w:rPr>
      </w:r>
      <w:r w:rsidRPr="00FE3F9B" w:rsidR="00F24957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10</w:t>
      </w:r>
      <w:r w:rsidRPr="00FE3F9B" w:rsidR="00F24957">
        <w:rPr>
          <w:lang w:val="fr-FR"/>
        </w:rPr>
        <w:fldChar w:fldCharType="end"/>
      </w:r>
      <w:r w:rsidRPr="00FE3F9B" w:rsidR="00F24957">
        <w:rPr>
          <w:lang w:val="fr-FR"/>
        </w:rPr>
        <w:noBreakHyphen/>
      </w:r>
      <w:r w:rsidRPr="00FE3F9B" w:rsidR="00F24957">
        <w:rPr>
          <w:lang w:val="fr-FR"/>
        </w:rPr>
        <w:fldChar w:fldCharType="begin"/>
      </w:r>
      <w:r w:rsidRPr="00FE3F9B" w:rsidR="00F24957">
        <w:rPr>
          <w:lang w:val="fr-FR"/>
        </w:rPr>
        <w:instrText xml:space="preserve"> REF versgouv2 \h </w:instrText>
      </w:r>
      <w:r w:rsidRPr="00FE3F9B" w:rsidR="009D0C24">
        <w:rPr>
          <w:lang w:val="fr-FR"/>
        </w:rPr>
        <w:instrText xml:space="preserve"> \* MERGEFORMAT </w:instrText>
      </w:r>
      <w:r w:rsidRPr="00FE3F9B" w:rsidR="00F24957">
        <w:rPr>
          <w:lang w:val="fr-FR"/>
        </w:rPr>
      </w:r>
      <w:r w:rsidRPr="00FE3F9B" w:rsidR="00F24957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12</w:t>
      </w:r>
      <w:r w:rsidRPr="00FE3F9B" w:rsidR="00F24957">
        <w:rPr>
          <w:lang w:val="fr-FR"/>
        </w:rPr>
        <w:fldChar w:fldCharType="end"/>
      </w:r>
      <w:r w:rsidRPr="00FE3F9B" w:rsidR="00F24957">
        <w:rPr>
          <w:lang w:val="fr-FR"/>
        </w:rPr>
        <w:t xml:space="preserve"> </w:t>
      </w:r>
      <w:r w:rsidRPr="00FE3F9B" w:rsidR="009075E6">
        <w:rPr>
          <w:lang w:val="fr-FR"/>
        </w:rPr>
        <w:t>ci</w:t>
      </w:r>
      <w:r w:rsidRPr="00FE3F9B" w:rsidR="00B176AB">
        <w:rPr>
          <w:lang w:val="fr-FR"/>
        </w:rPr>
        <w:noBreakHyphen/>
      </w:r>
      <w:r w:rsidRPr="00FE3F9B" w:rsidR="009075E6">
        <w:rPr>
          <w:lang w:val="fr-FR"/>
        </w:rPr>
        <w:t>dessus).</w:t>
      </w:r>
    </w:p>
    <w:bookmarkStart w:name="refpen1" w:id="11"/>
    <w:p w:rsidRPr="00FE3F9B" w:rsidR="00953EE7" w:rsidP="00FE3F9B" w:rsidRDefault="003A40EF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20</w:t>
      </w:r>
      <w:r w:rsidRPr="00FE3F9B">
        <w:rPr>
          <w:lang w:val="fr-FR"/>
        </w:rPr>
        <w:fldChar w:fldCharType="end"/>
      </w:r>
      <w:bookmarkEnd w:id="11"/>
      <w:r w:rsidRPr="00FE3F9B">
        <w:rPr>
          <w:lang w:val="fr-FR"/>
        </w:rPr>
        <w:t xml:space="preserve">.  Le 18 novembre </w:t>
      </w:r>
      <w:r w:rsidRPr="00FE3F9B" w:rsidR="009075E6">
        <w:rPr>
          <w:lang w:val="fr-FR"/>
        </w:rPr>
        <w:t>2001, l</w:t>
      </w:r>
      <w:r w:rsidRPr="00FE3F9B" w:rsidR="00FE3F9B">
        <w:rPr>
          <w:lang w:val="fr-FR"/>
        </w:rPr>
        <w:t>’</w:t>
      </w:r>
      <w:r w:rsidRPr="00FE3F9B" w:rsidR="009075E6">
        <w:rPr>
          <w:lang w:val="fr-FR"/>
        </w:rPr>
        <w:t>enquêteur M. rendit un</w:t>
      </w:r>
      <w:r w:rsidRPr="00FE3F9B" w:rsidR="00E74701">
        <w:rPr>
          <w:lang w:val="fr-FR"/>
        </w:rPr>
        <w:t>e décision de</w:t>
      </w:r>
      <w:r w:rsidRPr="00FE3F9B" w:rsidR="009075E6">
        <w:rPr>
          <w:lang w:val="fr-FR"/>
        </w:rPr>
        <w:t xml:space="preserve"> refus d</w:t>
      </w:r>
      <w:r w:rsidRPr="00FE3F9B" w:rsidR="00FE3F9B">
        <w:rPr>
          <w:lang w:val="fr-FR"/>
        </w:rPr>
        <w:t>’</w:t>
      </w:r>
      <w:r w:rsidRPr="00FE3F9B" w:rsidR="009075E6">
        <w:rPr>
          <w:lang w:val="fr-FR"/>
        </w:rPr>
        <w:t>ouv</w:t>
      </w:r>
      <w:r w:rsidRPr="00FE3F9B" w:rsidR="00346AD0">
        <w:rPr>
          <w:lang w:val="fr-FR"/>
        </w:rPr>
        <w:t>erture d</w:t>
      </w:r>
      <w:r w:rsidRPr="00FE3F9B" w:rsidR="00FE3F9B">
        <w:rPr>
          <w:lang w:val="fr-FR"/>
        </w:rPr>
        <w:t>’</w:t>
      </w:r>
      <w:r w:rsidRPr="00FE3F9B" w:rsidR="009075E6">
        <w:rPr>
          <w:lang w:val="fr-FR"/>
        </w:rPr>
        <w:t>une enquête pénale</w:t>
      </w:r>
      <w:r w:rsidRPr="00FE3F9B" w:rsidR="000B085D">
        <w:rPr>
          <w:lang w:val="fr-FR"/>
        </w:rPr>
        <w:t xml:space="preserve"> en se basant sur les explications de P. et T.</w:t>
      </w:r>
    </w:p>
    <w:p w:rsidRPr="00FE3F9B" w:rsidR="00953EE7" w:rsidP="00FE3F9B" w:rsidRDefault="009075E6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21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Le 20 novembre 2001, le procureur par intérim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arrondissement Avtozavodski de Nijni Novgorod annula la décision du 18 novembre </w:t>
      </w:r>
      <w:r w:rsidRPr="00FE3F9B" w:rsidR="002B2E0D">
        <w:rPr>
          <w:lang w:val="fr-FR"/>
        </w:rPr>
        <w:t>2001 et ordonna un complément d</w:t>
      </w:r>
      <w:r w:rsidRPr="00FE3F9B" w:rsidR="00FE3F9B">
        <w:rPr>
          <w:lang w:val="fr-FR"/>
        </w:rPr>
        <w:t>’</w:t>
      </w:r>
      <w:r w:rsidRPr="00FE3F9B" w:rsidR="002B2E0D">
        <w:rPr>
          <w:lang w:val="fr-FR"/>
        </w:rPr>
        <w:t>enquête.</w:t>
      </w:r>
    </w:p>
    <w:bookmarkStart w:name="refpenult" w:id="12"/>
    <w:p w:rsidRPr="00FE3F9B" w:rsidR="00953EE7" w:rsidP="00FE3F9B" w:rsidRDefault="00F2495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22</w:t>
      </w:r>
      <w:r w:rsidRPr="00FE3F9B">
        <w:rPr>
          <w:lang w:val="fr-FR"/>
        </w:rPr>
        <w:fldChar w:fldCharType="end"/>
      </w:r>
      <w:bookmarkEnd w:id="12"/>
      <w:r w:rsidRPr="00FE3F9B">
        <w:rPr>
          <w:lang w:val="fr-FR"/>
        </w:rPr>
        <w:t>.  </w:t>
      </w:r>
      <w:r w:rsidRPr="00FE3F9B" w:rsidR="002B2E0D">
        <w:rPr>
          <w:lang w:val="fr-FR"/>
        </w:rPr>
        <w:t>Ultérieurement, les autorités chargées de l</w:t>
      </w:r>
      <w:r w:rsidRPr="00FE3F9B" w:rsidR="00FE3F9B">
        <w:rPr>
          <w:lang w:val="fr-FR"/>
        </w:rPr>
        <w:t>’</w:t>
      </w:r>
      <w:r w:rsidRPr="00FE3F9B" w:rsidR="002B2E0D">
        <w:rPr>
          <w:lang w:val="fr-FR"/>
        </w:rPr>
        <w:t>instruction rendirent</w:t>
      </w:r>
      <w:r w:rsidRPr="00FE3F9B" w:rsidR="004D00C8">
        <w:rPr>
          <w:lang w:val="fr-FR"/>
        </w:rPr>
        <w:t xml:space="preserve"> </w:t>
      </w:r>
      <w:r w:rsidRPr="00FE3F9B" w:rsidR="0041510D">
        <w:rPr>
          <w:lang w:val="fr-FR"/>
        </w:rPr>
        <w:t>dix</w:t>
      </w:r>
      <w:r w:rsidRPr="00FE3F9B" w:rsidR="00744BDF">
        <w:rPr>
          <w:lang w:val="fr-FR"/>
        </w:rPr>
        <w:t xml:space="preserve"> </w:t>
      </w:r>
      <w:r w:rsidRPr="00FE3F9B" w:rsidR="002B2E0D">
        <w:rPr>
          <w:lang w:val="fr-FR"/>
        </w:rPr>
        <w:t>décisions de refus d</w:t>
      </w:r>
      <w:r w:rsidRPr="00FE3F9B" w:rsidR="00FE3F9B">
        <w:rPr>
          <w:lang w:val="fr-FR"/>
        </w:rPr>
        <w:t>’</w:t>
      </w:r>
      <w:r w:rsidRPr="00FE3F9B" w:rsidR="002B2E0D">
        <w:rPr>
          <w:lang w:val="fr-FR"/>
        </w:rPr>
        <w:t>ouv</w:t>
      </w:r>
      <w:r w:rsidRPr="00FE3F9B" w:rsidR="00E74701">
        <w:rPr>
          <w:lang w:val="fr-FR"/>
        </w:rPr>
        <w:t>erture d</w:t>
      </w:r>
      <w:r w:rsidRPr="00FE3F9B" w:rsidR="00FE3F9B">
        <w:rPr>
          <w:lang w:val="fr-FR"/>
        </w:rPr>
        <w:t>’</w:t>
      </w:r>
      <w:r w:rsidRPr="00FE3F9B" w:rsidR="002B2E0D">
        <w:rPr>
          <w:lang w:val="fr-FR"/>
        </w:rPr>
        <w:t>une enquête pénale</w:t>
      </w:r>
      <w:r w:rsidRPr="00FE3F9B" w:rsidR="00E74701">
        <w:rPr>
          <w:lang w:val="fr-FR"/>
        </w:rPr>
        <w:t xml:space="preserve">, datées </w:t>
      </w:r>
      <w:r w:rsidRPr="00FE3F9B" w:rsidR="000B085D">
        <w:rPr>
          <w:lang w:val="fr-FR"/>
        </w:rPr>
        <w:t>du 30 novembre 2001, d</w:t>
      </w:r>
      <w:r w:rsidRPr="00FE3F9B" w:rsidR="00A906D2">
        <w:rPr>
          <w:lang w:val="fr-FR"/>
        </w:rPr>
        <w:t>es</w:t>
      </w:r>
      <w:r w:rsidRPr="00FE3F9B" w:rsidR="000B085D">
        <w:rPr>
          <w:lang w:val="fr-FR"/>
        </w:rPr>
        <w:t xml:space="preserve"> 23 février </w:t>
      </w:r>
      <w:r w:rsidRPr="00FE3F9B" w:rsidR="00A906D2">
        <w:rPr>
          <w:lang w:val="fr-FR"/>
        </w:rPr>
        <w:t>et</w:t>
      </w:r>
      <w:r w:rsidRPr="00FE3F9B" w:rsidR="000B085D">
        <w:rPr>
          <w:lang w:val="fr-FR"/>
        </w:rPr>
        <w:t xml:space="preserve"> 4 octobre 2002, du 17 </w:t>
      </w:r>
      <w:r w:rsidRPr="00FE3F9B" w:rsidR="00992D65">
        <w:rPr>
          <w:lang w:val="fr-FR"/>
        </w:rPr>
        <w:t>janvier 2003</w:t>
      </w:r>
      <w:r w:rsidRPr="00FE3F9B" w:rsidR="000B085D">
        <w:rPr>
          <w:lang w:val="fr-FR"/>
        </w:rPr>
        <w:t>, d</w:t>
      </w:r>
      <w:r w:rsidRPr="00FE3F9B" w:rsidR="00A906D2">
        <w:rPr>
          <w:lang w:val="fr-FR"/>
        </w:rPr>
        <w:t>es</w:t>
      </w:r>
      <w:r w:rsidRPr="00FE3F9B" w:rsidR="000B085D">
        <w:rPr>
          <w:lang w:val="fr-FR"/>
        </w:rPr>
        <w:t xml:space="preserve"> 17 mai </w:t>
      </w:r>
      <w:r w:rsidRPr="00FE3F9B" w:rsidR="00A906D2">
        <w:rPr>
          <w:lang w:val="fr-FR"/>
        </w:rPr>
        <w:t xml:space="preserve">et </w:t>
      </w:r>
      <w:r w:rsidRPr="00FE3F9B" w:rsidR="000B085D">
        <w:rPr>
          <w:lang w:val="fr-FR"/>
        </w:rPr>
        <w:t>25 </w:t>
      </w:r>
      <w:r w:rsidRPr="00FE3F9B" w:rsidR="001B2DA7">
        <w:rPr>
          <w:lang w:val="fr-FR"/>
        </w:rPr>
        <w:t>septembre 2004, d</w:t>
      </w:r>
      <w:r w:rsidRPr="00FE3F9B" w:rsidR="002A5967">
        <w:rPr>
          <w:lang w:val="fr-FR"/>
        </w:rPr>
        <w:t>es</w:t>
      </w:r>
      <w:r w:rsidRPr="00FE3F9B" w:rsidR="000B085D">
        <w:rPr>
          <w:lang w:val="fr-FR"/>
        </w:rPr>
        <w:t xml:space="preserve"> 10 </w:t>
      </w:r>
      <w:r w:rsidRPr="00FE3F9B" w:rsidR="001B2DA7">
        <w:rPr>
          <w:lang w:val="fr-FR"/>
        </w:rPr>
        <w:t xml:space="preserve">février </w:t>
      </w:r>
      <w:r w:rsidRPr="00FE3F9B" w:rsidR="002A5967">
        <w:rPr>
          <w:lang w:val="fr-FR"/>
        </w:rPr>
        <w:t>et</w:t>
      </w:r>
      <w:r w:rsidRPr="00FE3F9B" w:rsidR="000B085D">
        <w:rPr>
          <w:lang w:val="fr-FR"/>
        </w:rPr>
        <w:t xml:space="preserve"> 8 </w:t>
      </w:r>
      <w:r w:rsidRPr="00FE3F9B" w:rsidR="001B2DA7">
        <w:rPr>
          <w:lang w:val="fr-FR"/>
        </w:rPr>
        <w:t xml:space="preserve">septembre </w:t>
      </w:r>
      <w:r w:rsidRPr="00FE3F9B" w:rsidR="000B085D">
        <w:rPr>
          <w:lang w:val="fr-FR"/>
        </w:rPr>
        <w:t>2005, du 3 </w:t>
      </w:r>
      <w:r w:rsidRPr="00FE3F9B" w:rsidR="001B2DA7">
        <w:rPr>
          <w:lang w:val="fr-FR"/>
        </w:rPr>
        <w:t>mars 2007</w:t>
      </w:r>
      <w:r w:rsidRPr="00FE3F9B" w:rsidR="0041510D">
        <w:rPr>
          <w:lang w:val="fr-FR"/>
        </w:rPr>
        <w:t xml:space="preserve"> et du</w:t>
      </w:r>
      <w:r w:rsidRPr="00FE3F9B" w:rsidR="002A5967">
        <w:rPr>
          <w:lang w:val="fr-FR"/>
        </w:rPr>
        <w:t xml:space="preserve"> </w:t>
      </w:r>
      <w:r w:rsidRPr="00FE3F9B" w:rsidR="000B085D">
        <w:rPr>
          <w:lang w:val="fr-FR"/>
        </w:rPr>
        <w:t>18 </w:t>
      </w:r>
      <w:r w:rsidRPr="00FE3F9B" w:rsidR="001B2DA7">
        <w:rPr>
          <w:lang w:val="fr-FR"/>
        </w:rPr>
        <w:t>o</w:t>
      </w:r>
      <w:r w:rsidRPr="00FE3F9B" w:rsidR="000B085D">
        <w:rPr>
          <w:lang w:val="fr-FR"/>
        </w:rPr>
        <w:t xml:space="preserve">ctobre </w:t>
      </w:r>
      <w:r w:rsidRPr="00FE3F9B" w:rsidR="002A5967">
        <w:rPr>
          <w:lang w:val="fr-FR"/>
        </w:rPr>
        <w:t xml:space="preserve">2009. </w:t>
      </w:r>
      <w:r w:rsidRPr="00FE3F9B" w:rsidR="00A64836">
        <w:rPr>
          <w:lang w:val="fr-FR"/>
        </w:rPr>
        <w:t>Toutes ces décisions</w:t>
      </w:r>
      <w:r w:rsidRPr="00FE3F9B" w:rsidR="0041510D">
        <w:rPr>
          <w:lang w:val="fr-FR"/>
        </w:rPr>
        <w:t xml:space="preserve"> </w:t>
      </w:r>
      <w:r w:rsidRPr="00FE3F9B" w:rsidR="00A64836">
        <w:rPr>
          <w:lang w:val="fr-FR"/>
        </w:rPr>
        <w:t xml:space="preserve">furent annulées </w:t>
      </w:r>
      <w:r w:rsidRPr="00FE3F9B" w:rsidR="00796CFD">
        <w:rPr>
          <w:lang w:val="fr-FR"/>
        </w:rPr>
        <w:t xml:space="preserve">à la suite </w:t>
      </w:r>
      <w:r w:rsidRPr="00FE3F9B" w:rsidR="00A906D2">
        <w:rPr>
          <w:lang w:val="fr-FR"/>
        </w:rPr>
        <w:t>de l</w:t>
      </w:r>
      <w:r w:rsidRPr="00FE3F9B" w:rsidR="00FE3F9B">
        <w:rPr>
          <w:lang w:val="fr-FR"/>
        </w:rPr>
        <w:t>’</w:t>
      </w:r>
      <w:r w:rsidRPr="00FE3F9B" w:rsidR="00A906D2">
        <w:rPr>
          <w:lang w:val="fr-FR"/>
        </w:rPr>
        <w:t xml:space="preserve">exercice par la requérante </w:t>
      </w:r>
      <w:r w:rsidRPr="00FE3F9B" w:rsidR="0041510D">
        <w:rPr>
          <w:lang w:val="fr-FR"/>
        </w:rPr>
        <w:t xml:space="preserve">soit </w:t>
      </w:r>
      <w:r w:rsidRPr="00FE3F9B" w:rsidR="00796CFD">
        <w:rPr>
          <w:lang w:val="fr-FR"/>
        </w:rPr>
        <w:t>d</w:t>
      </w:r>
      <w:r w:rsidRPr="00FE3F9B" w:rsidR="00FE3F9B">
        <w:rPr>
          <w:lang w:val="fr-FR"/>
        </w:rPr>
        <w:t>’</w:t>
      </w:r>
      <w:r w:rsidRPr="00FE3F9B" w:rsidR="00804926">
        <w:rPr>
          <w:lang w:val="fr-FR"/>
        </w:rPr>
        <w:t>un</w:t>
      </w:r>
      <w:r w:rsidRPr="00FE3F9B" w:rsidR="00796CFD">
        <w:rPr>
          <w:lang w:val="fr-FR"/>
        </w:rPr>
        <w:t xml:space="preserve"> recours </w:t>
      </w:r>
      <w:r w:rsidRPr="00FE3F9B" w:rsidR="00A64836">
        <w:rPr>
          <w:lang w:val="fr-FR"/>
        </w:rPr>
        <w:t>hiérarchique</w:t>
      </w:r>
      <w:r w:rsidRPr="00FE3F9B" w:rsidR="00804926">
        <w:rPr>
          <w:lang w:val="fr-FR"/>
        </w:rPr>
        <w:t xml:space="preserve"> </w:t>
      </w:r>
      <w:r w:rsidRPr="00FE3F9B" w:rsidR="0041510D">
        <w:rPr>
          <w:lang w:val="fr-FR"/>
        </w:rPr>
        <w:t>soit</w:t>
      </w:r>
      <w:r w:rsidRPr="00FE3F9B" w:rsidR="00796CFD">
        <w:rPr>
          <w:lang w:val="fr-FR"/>
        </w:rPr>
        <w:t xml:space="preserve"> d</w:t>
      </w:r>
      <w:r w:rsidRPr="00FE3F9B" w:rsidR="00FE3F9B">
        <w:rPr>
          <w:lang w:val="fr-FR"/>
        </w:rPr>
        <w:t>’</w:t>
      </w:r>
      <w:r w:rsidRPr="00FE3F9B" w:rsidR="00804926">
        <w:rPr>
          <w:lang w:val="fr-FR"/>
        </w:rPr>
        <w:t>un</w:t>
      </w:r>
      <w:r w:rsidRPr="00FE3F9B" w:rsidR="00796CFD">
        <w:rPr>
          <w:lang w:val="fr-FR"/>
        </w:rPr>
        <w:t xml:space="preserve"> recours judiciai</w:t>
      </w:r>
      <w:r w:rsidRPr="00FE3F9B" w:rsidR="00804926">
        <w:rPr>
          <w:lang w:val="fr-FR"/>
        </w:rPr>
        <w:t>re.</w:t>
      </w:r>
    </w:p>
    <w:bookmarkStart w:name="refpenelem" w:id="13"/>
    <w:p w:rsidRPr="00FE3F9B" w:rsidR="00953EE7" w:rsidP="00FE3F9B" w:rsidRDefault="00F2495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23</w:t>
      </w:r>
      <w:r w:rsidRPr="00FE3F9B">
        <w:rPr>
          <w:lang w:val="fr-FR"/>
        </w:rPr>
        <w:fldChar w:fldCharType="end"/>
      </w:r>
      <w:bookmarkEnd w:id="13"/>
      <w:r w:rsidRPr="00FE3F9B">
        <w:rPr>
          <w:lang w:val="fr-FR"/>
        </w:rPr>
        <w:t>.  </w:t>
      </w:r>
      <w:r w:rsidRPr="00FE3F9B" w:rsidR="00C9353B">
        <w:rPr>
          <w:lang w:val="fr-FR"/>
        </w:rPr>
        <w:t>À des dates différentes, d</w:t>
      </w:r>
      <w:r w:rsidRPr="00FE3F9B" w:rsidR="00796CFD">
        <w:rPr>
          <w:lang w:val="fr-FR"/>
        </w:rPr>
        <w:t>ans le cadre de plusieurs compléments d</w:t>
      </w:r>
      <w:r w:rsidRPr="00FE3F9B" w:rsidR="00FE3F9B">
        <w:rPr>
          <w:lang w:val="fr-FR"/>
        </w:rPr>
        <w:t>’</w:t>
      </w:r>
      <w:r w:rsidRPr="00FE3F9B" w:rsidR="00796CFD">
        <w:rPr>
          <w:lang w:val="fr-FR"/>
        </w:rPr>
        <w:t>enquête, les autorités d</w:t>
      </w:r>
      <w:r w:rsidRPr="00FE3F9B" w:rsidR="00FE3F9B">
        <w:rPr>
          <w:lang w:val="fr-FR"/>
        </w:rPr>
        <w:t>’</w:t>
      </w:r>
      <w:r w:rsidRPr="00FE3F9B" w:rsidR="00796CFD">
        <w:rPr>
          <w:lang w:val="fr-FR"/>
        </w:rPr>
        <w:t xml:space="preserve">instruction rassemblèrent </w:t>
      </w:r>
      <w:r w:rsidRPr="00FE3F9B" w:rsidR="00582DB0">
        <w:rPr>
          <w:lang w:val="fr-FR"/>
        </w:rPr>
        <w:t>les éléments</w:t>
      </w:r>
      <w:r w:rsidRPr="00FE3F9B" w:rsidR="00796CFD">
        <w:rPr>
          <w:lang w:val="fr-FR"/>
        </w:rPr>
        <w:t xml:space="preserve"> suivants</w:t>
      </w:r>
      <w:r w:rsidRPr="00FE3F9B" w:rsidR="002C4D02">
        <w:rPr>
          <w:lang w:val="fr-FR"/>
        </w:rPr>
        <w:t> :</w:t>
      </w:r>
    </w:p>
    <w:p w:rsidRPr="00FE3F9B" w:rsidR="00953EE7" w:rsidP="00FE3F9B" w:rsidRDefault="004F7A1F">
      <w:pPr>
        <w:pStyle w:val="ECHRPara"/>
        <w:rPr>
          <w:lang w:val="fr-FR"/>
        </w:rPr>
      </w:pPr>
      <w:r w:rsidRPr="00FE3F9B">
        <w:rPr>
          <w:lang w:val="fr-FR"/>
        </w:rPr>
        <w:t>-  </w:t>
      </w:r>
      <w:r w:rsidRPr="00FE3F9B" w:rsidR="002C4D02">
        <w:rPr>
          <w:lang w:val="fr-FR"/>
        </w:rPr>
        <w:t xml:space="preserve">les </w:t>
      </w:r>
      <w:r w:rsidRPr="00FE3F9B" w:rsidR="00EF6FED">
        <w:rPr>
          <w:lang w:val="fr-FR"/>
        </w:rPr>
        <w:t>explications</w:t>
      </w:r>
      <w:r w:rsidRPr="00FE3F9B" w:rsidR="002C4D02">
        <w:rPr>
          <w:lang w:val="fr-FR"/>
        </w:rPr>
        <w:t xml:space="preserve"> de la requérante</w:t>
      </w:r>
      <w:r w:rsidRPr="00FE3F9B" w:rsidR="002A71BE">
        <w:rPr>
          <w:lang w:val="fr-FR"/>
        </w:rPr>
        <w:t xml:space="preserve"> </w:t>
      </w:r>
      <w:r w:rsidRPr="00FE3F9B" w:rsidR="004F6BE8">
        <w:rPr>
          <w:lang w:val="fr-FR"/>
        </w:rPr>
        <w:t>recueillies le</w:t>
      </w:r>
      <w:r w:rsidRPr="00FE3F9B" w:rsidR="002A71BE">
        <w:rPr>
          <w:lang w:val="fr-FR"/>
        </w:rPr>
        <w:t xml:space="preserve"> 22 novembre 2001</w:t>
      </w:r>
      <w:r w:rsidRPr="00FE3F9B" w:rsidR="00A906D2">
        <w:rPr>
          <w:lang w:val="fr-FR"/>
        </w:rPr>
        <w:t>,</w:t>
      </w:r>
      <w:r w:rsidRPr="00FE3F9B" w:rsidR="003068D7">
        <w:rPr>
          <w:lang w:val="fr-FR"/>
        </w:rPr>
        <w:t xml:space="preserve"> qui avait </w:t>
      </w:r>
      <w:r w:rsidRPr="00FE3F9B" w:rsidR="007E4887">
        <w:rPr>
          <w:lang w:val="fr-FR"/>
        </w:rPr>
        <w:t>maintenu ses allégations tout en indiquant qu</w:t>
      </w:r>
      <w:r w:rsidRPr="00FE3F9B" w:rsidR="00FE3F9B">
        <w:rPr>
          <w:lang w:val="fr-FR"/>
        </w:rPr>
        <w:t>’</w:t>
      </w:r>
      <w:r w:rsidRPr="00FE3F9B" w:rsidR="007E4887">
        <w:rPr>
          <w:lang w:val="fr-FR"/>
        </w:rPr>
        <w:t xml:space="preserve">elle ne se souvenait pas exactement </w:t>
      </w:r>
      <w:r w:rsidRPr="00FE3F9B" w:rsidR="00986002">
        <w:rPr>
          <w:lang w:val="fr-FR"/>
        </w:rPr>
        <w:t>d</w:t>
      </w:r>
      <w:r w:rsidRPr="00FE3F9B" w:rsidR="007E4887">
        <w:rPr>
          <w:lang w:val="fr-FR"/>
        </w:rPr>
        <w:t xml:space="preserve">es insultes </w:t>
      </w:r>
      <w:r w:rsidRPr="00FE3F9B" w:rsidR="004F6BE8">
        <w:rPr>
          <w:lang w:val="fr-FR"/>
        </w:rPr>
        <w:t>qui auraient été profér</w:t>
      </w:r>
      <w:r w:rsidRPr="00FE3F9B" w:rsidR="006E3FC4">
        <w:rPr>
          <w:lang w:val="fr-FR"/>
        </w:rPr>
        <w:t>é</w:t>
      </w:r>
      <w:r w:rsidRPr="00FE3F9B" w:rsidR="004F6BE8">
        <w:rPr>
          <w:lang w:val="fr-FR"/>
        </w:rPr>
        <w:t>es à son encontre par</w:t>
      </w:r>
      <w:r w:rsidRPr="00FE3F9B" w:rsidR="007E4887">
        <w:rPr>
          <w:lang w:val="fr-FR"/>
        </w:rPr>
        <w:t xml:space="preserve"> P. et T. ;</w:t>
      </w:r>
    </w:p>
    <w:p w:rsidRPr="00FE3F9B" w:rsidR="00953EE7" w:rsidP="00FE3F9B" w:rsidRDefault="004F7A1F">
      <w:pPr>
        <w:pStyle w:val="ECHRPara"/>
        <w:rPr>
          <w:lang w:val="fr-FR"/>
        </w:rPr>
      </w:pPr>
      <w:r w:rsidRPr="00FE3F9B">
        <w:rPr>
          <w:lang w:val="fr-FR"/>
        </w:rPr>
        <w:t>-  </w:t>
      </w:r>
      <w:r w:rsidRPr="00FE3F9B" w:rsidR="000B085D">
        <w:rPr>
          <w:lang w:val="fr-FR"/>
        </w:rPr>
        <w:t xml:space="preserve">les </w:t>
      </w:r>
      <w:r w:rsidRPr="00FE3F9B" w:rsidR="00EF6FED">
        <w:rPr>
          <w:lang w:val="fr-FR"/>
        </w:rPr>
        <w:t xml:space="preserve">explications </w:t>
      </w:r>
      <w:r w:rsidRPr="00FE3F9B" w:rsidR="002C4D02">
        <w:rPr>
          <w:lang w:val="fr-FR"/>
        </w:rPr>
        <w:t>de B.</w:t>
      </w:r>
      <w:r w:rsidRPr="00FE3F9B" w:rsidR="0090119F">
        <w:rPr>
          <w:lang w:val="fr-FR"/>
        </w:rPr>
        <w:t xml:space="preserve">, un prétendu témoin </w:t>
      </w:r>
      <w:r w:rsidRPr="00FE3F9B" w:rsidR="00A93AE8">
        <w:rPr>
          <w:lang w:val="fr-FR"/>
        </w:rPr>
        <w:t xml:space="preserve">oculaire </w:t>
      </w:r>
      <w:r w:rsidRPr="00FE3F9B" w:rsidR="0090119F">
        <w:rPr>
          <w:lang w:val="fr-FR"/>
        </w:rPr>
        <w:t>de l</w:t>
      </w:r>
      <w:r w:rsidRPr="00FE3F9B" w:rsidR="00FE3F9B">
        <w:rPr>
          <w:lang w:val="fr-FR"/>
        </w:rPr>
        <w:t>’</w:t>
      </w:r>
      <w:r w:rsidRPr="00FE3F9B" w:rsidR="0090119F">
        <w:rPr>
          <w:lang w:val="fr-FR"/>
        </w:rPr>
        <w:t>incident</w:t>
      </w:r>
      <w:r w:rsidRPr="00FE3F9B" w:rsidR="00800F55">
        <w:rPr>
          <w:lang w:val="fr-FR"/>
        </w:rPr>
        <w:t xml:space="preserve">, </w:t>
      </w:r>
      <w:r w:rsidRPr="00FE3F9B" w:rsidR="004F6BE8">
        <w:rPr>
          <w:lang w:val="fr-FR"/>
        </w:rPr>
        <w:t xml:space="preserve">également recueillies le </w:t>
      </w:r>
      <w:r w:rsidRPr="00FE3F9B" w:rsidR="002A71BE">
        <w:rPr>
          <w:lang w:val="fr-FR"/>
        </w:rPr>
        <w:t>22</w:t>
      </w:r>
      <w:r w:rsidRPr="00FE3F9B" w:rsidR="004F6BE8">
        <w:rPr>
          <w:lang w:val="fr-FR"/>
        </w:rPr>
        <w:t> </w:t>
      </w:r>
      <w:r w:rsidRPr="00FE3F9B" w:rsidR="002A71BE">
        <w:rPr>
          <w:lang w:val="fr-FR"/>
        </w:rPr>
        <w:t>novembre 2001</w:t>
      </w:r>
      <w:r w:rsidRPr="00FE3F9B" w:rsidR="004F6BE8">
        <w:rPr>
          <w:lang w:val="fr-FR"/>
        </w:rPr>
        <w:t>,</w:t>
      </w:r>
      <w:r w:rsidRPr="00FE3F9B" w:rsidR="002A71BE">
        <w:rPr>
          <w:lang w:val="fr-FR"/>
        </w:rPr>
        <w:t xml:space="preserve"> </w:t>
      </w:r>
      <w:r w:rsidRPr="00FE3F9B" w:rsidR="00800F55">
        <w:rPr>
          <w:lang w:val="fr-FR"/>
        </w:rPr>
        <w:t xml:space="preserve">qui avait </w:t>
      </w:r>
      <w:r w:rsidRPr="00FE3F9B" w:rsidR="00EF6FED">
        <w:rPr>
          <w:lang w:val="fr-FR"/>
        </w:rPr>
        <w:t xml:space="preserve">déclaré </w:t>
      </w:r>
      <w:r w:rsidRPr="00FE3F9B" w:rsidR="00A93AE8">
        <w:rPr>
          <w:lang w:val="fr-FR"/>
        </w:rPr>
        <w:t>que</w:t>
      </w:r>
      <w:r w:rsidRPr="00FE3F9B" w:rsidR="004F6BE8">
        <w:rPr>
          <w:lang w:val="fr-FR"/>
        </w:rPr>
        <w:t>,</w:t>
      </w:r>
      <w:r w:rsidRPr="00FE3F9B" w:rsidR="00A93AE8">
        <w:rPr>
          <w:lang w:val="fr-FR"/>
        </w:rPr>
        <w:t xml:space="preserve"> le 6</w:t>
      </w:r>
      <w:r w:rsidRPr="00FE3F9B" w:rsidR="004F6BE8">
        <w:rPr>
          <w:lang w:val="fr-FR"/>
        </w:rPr>
        <w:t> </w:t>
      </w:r>
      <w:r w:rsidRPr="00FE3F9B" w:rsidR="00A93AE8">
        <w:rPr>
          <w:lang w:val="fr-FR"/>
        </w:rPr>
        <w:t xml:space="preserve">novembre 2001, </w:t>
      </w:r>
      <w:r w:rsidRPr="00FE3F9B" w:rsidR="002A71BE">
        <w:rPr>
          <w:lang w:val="fr-FR"/>
        </w:rPr>
        <w:t>en passant</w:t>
      </w:r>
      <w:r w:rsidRPr="00FE3F9B" w:rsidR="00800F55">
        <w:rPr>
          <w:lang w:val="fr-FR"/>
        </w:rPr>
        <w:t xml:space="preserve"> devant la maison de R.</w:t>
      </w:r>
      <w:r w:rsidRPr="00FE3F9B" w:rsidR="00A93AE8">
        <w:rPr>
          <w:lang w:val="fr-FR"/>
        </w:rPr>
        <w:t xml:space="preserve">, il avait observé </w:t>
      </w:r>
      <w:r w:rsidRPr="00FE3F9B" w:rsidR="00800F55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 w:rsidR="00800F55">
        <w:rPr>
          <w:lang w:val="fr-FR"/>
        </w:rPr>
        <w:t>intervention de P. et T.</w:t>
      </w:r>
      <w:r w:rsidRPr="00FE3F9B" w:rsidR="004F6BE8">
        <w:rPr>
          <w:lang w:val="fr-FR"/>
        </w:rPr>
        <w:t>,</w:t>
      </w:r>
      <w:r w:rsidRPr="00FE3F9B" w:rsidR="00800F55">
        <w:rPr>
          <w:lang w:val="fr-FR"/>
        </w:rPr>
        <w:t xml:space="preserve"> </w:t>
      </w:r>
      <w:r w:rsidRPr="00FE3F9B" w:rsidR="00A93AE8">
        <w:rPr>
          <w:lang w:val="fr-FR"/>
        </w:rPr>
        <w:t>qui se serait déroulé</w:t>
      </w:r>
      <w:r w:rsidRPr="00FE3F9B" w:rsidR="004F6BE8">
        <w:rPr>
          <w:lang w:val="fr-FR"/>
        </w:rPr>
        <w:t>e</w:t>
      </w:r>
      <w:r w:rsidRPr="00FE3F9B" w:rsidR="00A93AE8">
        <w:rPr>
          <w:lang w:val="fr-FR"/>
        </w:rPr>
        <w:t xml:space="preserve"> </w:t>
      </w:r>
      <w:r w:rsidRPr="00FE3F9B" w:rsidR="004F6BE8">
        <w:rPr>
          <w:lang w:val="fr-FR"/>
        </w:rPr>
        <w:t>selon</w:t>
      </w:r>
      <w:r w:rsidRPr="00FE3F9B" w:rsidR="00A93AE8">
        <w:rPr>
          <w:lang w:val="fr-FR"/>
        </w:rPr>
        <w:t xml:space="preserve"> la version exposée par ces dernier</w:t>
      </w:r>
      <w:r w:rsidRPr="00FE3F9B" w:rsidR="000B085D">
        <w:rPr>
          <w:lang w:val="fr-FR"/>
        </w:rPr>
        <w:t>s</w:t>
      </w:r>
      <w:r w:rsidRPr="00FE3F9B" w:rsidR="002C4D02">
        <w:rPr>
          <w:lang w:val="fr-FR"/>
        </w:rPr>
        <w:t> ;</w:t>
      </w:r>
    </w:p>
    <w:p w:rsidRPr="00FE3F9B" w:rsidR="002C4D02" w:rsidP="00FE3F9B" w:rsidRDefault="004F7A1F">
      <w:pPr>
        <w:pStyle w:val="ECHRPara"/>
        <w:rPr>
          <w:lang w:val="fr-FR"/>
        </w:rPr>
      </w:pPr>
      <w:r w:rsidRPr="00FE3F9B">
        <w:rPr>
          <w:lang w:val="fr-FR"/>
        </w:rPr>
        <w:t>-  </w:t>
      </w:r>
      <w:r w:rsidRPr="00FE3F9B" w:rsidR="002C4D02">
        <w:rPr>
          <w:lang w:val="fr-FR"/>
        </w:rPr>
        <w:t xml:space="preserve">les </w:t>
      </w:r>
      <w:r w:rsidRPr="00FE3F9B" w:rsidR="00EF6FED">
        <w:rPr>
          <w:lang w:val="fr-FR"/>
        </w:rPr>
        <w:t xml:space="preserve">explications </w:t>
      </w:r>
      <w:r w:rsidRPr="00FE3F9B" w:rsidR="002C4D02">
        <w:rPr>
          <w:lang w:val="fr-FR"/>
        </w:rPr>
        <w:t>de F.</w:t>
      </w:r>
      <w:r w:rsidRPr="00FE3F9B" w:rsidR="00A93AE8">
        <w:rPr>
          <w:lang w:val="fr-FR"/>
        </w:rPr>
        <w:t xml:space="preserve"> </w:t>
      </w:r>
      <w:r w:rsidRPr="00FE3F9B" w:rsidR="0041510D">
        <w:rPr>
          <w:lang w:val="fr-FR"/>
        </w:rPr>
        <w:t xml:space="preserve">en date </w:t>
      </w:r>
      <w:r w:rsidRPr="00FE3F9B" w:rsidR="002A71BE">
        <w:rPr>
          <w:lang w:val="fr-FR"/>
        </w:rPr>
        <w:t>du 28 novembre 2001</w:t>
      </w:r>
      <w:r w:rsidRPr="00FE3F9B" w:rsidR="002944B0">
        <w:rPr>
          <w:lang w:val="fr-FR"/>
        </w:rPr>
        <w:t>, selon lesquelles</w:t>
      </w:r>
      <w:r w:rsidRPr="00FE3F9B" w:rsidR="006E3FC4">
        <w:rPr>
          <w:lang w:val="fr-FR"/>
        </w:rPr>
        <w:t xml:space="preserve"> </w:t>
      </w:r>
      <w:r w:rsidRPr="00FE3F9B" w:rsidR="000B085D">
        <w:rPr>
          <w:lang w:val="fr-FR"/>
        </w:rPr>
        <w:t>le 6 </w:t>
      </w:r>
      <w:r w:rsidRPr="00FE3F9B" w:rsidR="007E4887">
        <w:rPr>
          <w:lang w:val="fr-FR"/>
        </w:rPr>
        <w:t>novembre 2001</w:t>
      </w:r>
      <w:r w:rsidRPr="00FE3F9B" w:rsidR="006E3FC4">
        <w:rPr>
          <w:lang w:val="fr-FR"/>
        </w:rPr>
        <w:t>,</w:t>
      </w:r>
      <w:r w:rsidRPr="00FE3F9B" w:rsidR="002A71BE">
        <w:rPr>
          <w:lang w:val="fr-FR"/>
        </w:rPr>
        <w:t xml:space="preserve"> vers 16 h</w:t>
      </w:r>
      <w:r w:rsidRPr="00FE3F9B" w:rsidR="004F6BE8">
        <w:rPr>
          <w:lang w:val="fr-FR"/>
        </w:rPr>
        <w:t>eures</w:t>
      </w:r>
      <w:r w:rsidRPr="00FE3F9B" w:rsidR="002A71BE">
        <w:rPr>
          <w:lang w:val="fr-FR"/>
        </w:rPr>
        <w:t>,</w:t>
      </w:r>
      <w:r w:rsidRPr="00FE3F9B" w:rsidR="000B085D">
        <w:rPr>
          <w:lang w:val="fr-FR"/>
        </w:rPr>
        <w:t xml:space="preserve"> </w:t>
      </w:r>
      <w:r w:rsidRPr="00FE3F9B" w:rsidR="000E3925">
        <w:rPr>
          <w:lang w:val="fr-FR"/>
        </w:rPr>
        <w:t>après avoir été appelé par</w:t>
      </w:r>
      <w:r w:rsidRPr="00FE3F9B" w:rsidR="000B085D">
        <w:rPr>
          <w:lang w:val="fr-FR"/>
        </w:rPr>
        <w:t xml:space="preserve"> R.</w:t>
      </w:r>
      <w:r w:rsidRPr="00FE3F9B" w:rsidR="000E3925">
        <w:rPr>
          <w:lang w:val="fr-FR"/>
        </w:rPr>
        <w:t xml:space="preserve">, </w:t>
      </w:r>
      <w:r w:rsidRPr="00FE3F9B" w:rsidR="00791305">
        <w:rPr>
          <w:lang w:val="fr-FR"/>
        </w:rPr>
        <w:t xml:space="preserve">celui-ci </w:t>
      </w:r>
      <w:r w:rsidRPr="00FE3F9B" w:rsidR="000E3925">
        <w:rPr>
          <w:lang w:val="fr-FR"/>
        </w:rPr>
        <w:t>avait</w:t>
      </w:r>
      <w:r w:rsidRPr="00FE3F9B" w:rsidR="000B085D">
        <w:rPr>
          <w:lang w:val="fr-FR"/>
        </w:rPr>
        <w:t xml:space="preserve"> </w:t>
      </w:r>
      <w:r w:rsidRPr="00FE3F9B" w:rsidR="004F6BE8">
        <w:rPr>
          <w:lang w:val="fr-FR"/>
        </w:rPr>
        <w:t>ac</w:t>
      </w:r>
      <w:r w:rsidRPr="00FE3F9B" w:rsidR="000B085D">
        <w:rPr>
          <w:lang w:val="fr-FR"/>
        </w:rPr>
        <w:t xml:space="preserve">couru </w:t>
      </w:r>
      <w:r w:rsidRPr="00FE3F9B" w:rsidR="000E3925">
        <w:rPr>
          <w:lang w:val="fr-FR"/>
        </w:rPr>
        <w:t xml:space="preserve">en dehors </w:t>
      </w:r>
      <w:r w:rsidRPr="00FE3F9B" w:rsidR="000B085D">
        <w:rPr>
          <w:lang w:val="fr-FR"/>
        </w:rPr>
        <w:t>de la maison</w:t>
      </w:r>
      <w:r w:rsidRPr="00FE3F9B" w:rsidR="002944B0">
        <w:rPr>
          <w:lang w:val="fr-FR"/>
        </w:rPr>
        <w:t xml:space="preserve">, </w:t>
      </w:r>
      <w:r w:rsidRPr="00FE3F9B" w:rsidR="006E3FC4">
        <w:rPr>
          <w:lang w:val="fr-FR"/>
        </w:rPr>
        <w:t>avait alors</w:t>
      </w:r>
      <w:r w:rsidRPr="00FE3F9B" w:rsidR="000B085D">
        <w:rPr>
          <w:lang w:val="fr-FR"/>
        </w:rPr>
        <w:t xml:space="preserve"> </w:t>
      </w:r>
      <w:r w:rsidRPr="00FE3F9B" w:rsidR="000E3925">
        <w:rPr>
          <w:lang w:val="fr-FR"/>
        </w:rPr>
        <w:t>vu deux hommes</w:t>
      </w:r>
      <w:r w:rsidRPr="00FE3F9B" w:rsidR="00F96FBA">
        <w:rPr>
          <w:lang w:val="fr-FR"/>
        </w:rPr>
        <w:t xml:space="preserve"> s</w:t>
      </w:r>
      <w:r w:rsidRPr="00FE3F9B" w:rsidR="00FE3F9B">
        <w:rPr>
          <w:lang w:val="fr-FR"/>
        </w:rPr>
        <w:t>’</w:t>
      </w:r>
      <w:r w:rsidRPr="00FE3F9B" w:rsidR="00F96FBA">
        <w:rPr>
          <w:lang w:val="fr-FR"/>
        </w:rPr>
        <w:t>approch</w:t>
      </w:r>
      <w:r w:rsidRPr="00FE3F9B" w:rsidR="006E3FC4">
        <w:rPr>
          <w:lang w:val="fr-FR"/>
        </w:rPr>
        <w:t>er</w:t>
      </w:r>
      <w:r w:rsidRPr="00FE3F9B" w:rsidR="00F96FBA">
        <w:rPr>
          <w:lang w:val="fr-FR"/>
        </w:rPr>
        <w:t xml:space="preserve"> de lui</w:t>
      </w:r>
      <w:r w:rsidRPr="00FE3F9B" w:rsidR="002944B0">
        <w:rPr>
          <w:lang w:val="fr-FR"/>
        </w:rPr>
        <w:t> et avait</w:t>
      </w:r>
      <w:r w:rsidRPr="00FE3F9B" w:rsidR="00372C3F">
        <w:rPr>
          <w:lang w:val="fr-FR"/>
        </w:rPr>
        <w:t xml:space="preserve"> </w:t>
      </w:r>
      <w:r w:rsidRPr="00FE3F9B" w:rsidR="000B085D">
        <w:rPr>
          <w:lang w:val="fr-FR"/>
        </w:rPr>
        <w:t xml:space="preserve">poussé </w:t>
      </w:r>
      <w:r w:rsidRPr="00FE3F9B" w:rsidR="002944B0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 w:rsidR="000B085D">
        <w:rPr>
          <w:lang w:val="fr-FR"/>
        </w:rPr>
        <w:t>un d</w:t>
      </w:r>
      <w:r w:rsidRPr="00FE3F9B" w:rsidR="00FE3F9B">
        <w:rPr>
          <w:lang w:val="fr-FR"/>
        </w:rPr>
        <w:t>’</w:t>
      </w:r>
      <w:r w:rsidRPr="00FE3F9B" w:rsidR="002944B0">
        <w:rPr>
          <w:lang w:val="fr-FR"/>
        </w:rPr>
        <w:t xml:space="preserve">entre eux. Toujours selon ces </w:t>
      </w:r>
      <w:r w:rsidRPr="00FE3F9B" w:rsidR="00EF6FED">
        <w:rPr>
          <w:lang w:val="fr-FR"/>
        </w:rPr>
        <w:t>explications</w:t>
      </w:r>
      <w:r w:rsidRPr="00FE3F9B" w:rsidR="002944B0">
        <w:rPr>
          <w:lang w:val="fr-FR"/>
        </w:rPr>
        <w:t>, l</w:t>
      </w:r>
      <w:r w:rsidRPr="00FE3F9B" w:rsidR="00372C3F">
        <w:rPr>
          <w:lang w:val="fr-FR"/>
        </w:rPr>
        <w:t>e</w:t>
      </w:r>
      <w:r w:rsidRPr="00FE3F9B" w:rsidR="000B085D">
        <w:rPr>
          <w:lang w:val="fr-FR"/>
        </w:rPr>
        <w:t>s</w:t>
      </w:r>
      <w:r w:rsidRPr="00FE3F9B" w:rsidR="002944B0">
        <w:rPr>
          <w:lang w:val="fr-FR"/>
        </w:rPr>
        <w:t xml:space="preserve"> deux</w:t>
      </w:r>
      <w:r w:rsidRPr="00FE3F9B" w:rsidR="002A71BE">
        <w:rPr>
          <w:lang w:val="fr-FR"/>
        </w:rPr>
        <w:t xml:space="preserve"> </w:t>
      </w:r>
      <w:r w:rsidRPr="00FE3F9B" w:rsidR="000B085D">
        <w:rPr>
          <w:lang w:val="fr-FR"/>
        </w:rPr>
        <w:t>hommes</w:t>
      </w:r>
      <w:r w:rsidRPr="00FE3F9B" w:rsidR="00F96FBA">
        <w:rPr>
          <w:lang w:val="fr-FR"/>
        </w:rPr>
        <w:t xml:space="preserve"> a</w:t>
      </w:r>
      <w:r w:rsidRPr="00FE3F9B" w:rsidR="002A71BE">
        <w:rPr>
          <w:lang w:val="fr-FR"/>
        </w:rPr>
        <w:t>vaient</w:t>
      </w:r>
      <w:r w:rsidRPr="00FE3F9B" w:rsidR="00F96FBA">
        <w:rPr>
          <w:lang w:val="fr-FR"/>
        </w:rPr>
        <w:t xml:space="preserve"> mis </w:t>
      </w:r>
      <w:r w:rsidRPr="00FE3F9B" w:rsidR="002944B0">
        <w:rPr>
          <w:lang w:val="fr-FR"/>
        </w:rPr>
        <w:t xml:space="preserve">F. </w:t>
      </w:r>
      <w:r w:rsidRPr="00FE3F9B" w:rsidR="00F96FBA">
        <w:rPr>
          <w:lang w:val="fr-FR"/>
        </w:rPr>
        <w:t>par terre, l</w:t>
      </w:r>
      <w:r w:rsidRPr="00FE3F9B" w:rsidR="00FE3F9B">
        <w:rPr>
          <w:lang w:val="fr-FR"/>
        </w:rPr>
        <w:t>’</w:t>
      </w:r>
      <w:r w:rsidRPr="00FE3F9B" w:rsidR="002A71BE">
        <w:rPr>
          <w:lang w:val="fr-FR"/>
        </w:rPr>
        <w:t>avaient</w:t>
      </w:r>
      <w:r w:rsidRPr="00FE3F9B" w:rsidR="00F96FBA">
        <w:rPr>
          <w:lang w:val="fr-FR"/>
        </w:rPr>
        <w:t xml:space="preserve"> menott</w:t>
      </w:r>
      <w:r w:rsidRPr="00FE3F9B" w:rsidR="002A71BE">
        <w:rPr>
          <w:lang w:val="fr-FR"/>
        </w:rPr>
        <w:t>é</w:t>
      </w:r>
      <w:r w:rsidRPr="00FE3F9B" w:rsidR="00F96FBA">
        <w:rPr>
          <w:lang w:val="fr-FR"/>
        </w:rPr>
        <w:t xml:space="preserve"> </w:t>
      </w:r>
      <w:r w:rsidRPr="00FE3F9B" w:rsidR="002A71BE">
        <w:rPr>
          <w:lang w:val="fr-FR"/>
        </w:rPr>
        <w:t xml:space="preserve">et </w:t>
      </w:r>
      <w:r w:rsidRPr="00FE3F9B" w:rsidR="00986002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 w:rsidR="00986002">
        <w:rPr>
          <w:lang w:val="fr-FR"/>
        </w:rPr>
        <w:t xml:space="preserve">avaient </w:t>
      </w:r>
      <w:r w:rsidRPr="00FE3F9B" w:rsidR="002A71BE">
        <w:rPr>
          <w:lang w:val="fr-FR"/>
        </w:rPr>
        <w:t xml:space="preserve">conduit au commissariat de police. </w:t>
      </w:r>
      <w:r w:rsidRPr="00FE3F9B" w:rsidR="002944B0">
        <w:rPr>
          <w:lang w:val="fr-FR"/>
        </w:rPr>
        <w:t xml:space="preserve">F. </w:t>
      </w:r>
      <w:r w:rsidRPr="00FE3F9B" w:rsidR="002A71BE">
        <w:rPr>
          <w:lang w:val="fr-FR"/>
        </w:rPr>
        <w:t>avait reconnu en outre qu</w:t>
      </w:r>
      <w:r w:rsidRPr="00FE3F9B" w:rsidR="00FE3F9B">
        <w:rPr>
          <w:lang w:val="fr-FR"/>
        </w:rPr>
        <w:t>’</w:t>
      </w:r>
      <w:r w:rsidRPr="00FE3F9B" w:rsidR="002A71BE">
        <w:rPr>
          <w:lang w:val="fr-FR"/>
        </w:rPr>
        <w:t>au moment de l</w:t>
      </w:r>
      <w:r w:rsidRPr="00FE3F9B" w:rsidR="00FE3F9B">
        <w:rPr>
          <w:lang w:val="fr-FR"/>
        </w:rPr>
        <w:t>’</w:t>
      </w:r>
      <w:r w:rsidRPr="00FE3F9B" w:rsidR="002A71BE">
        <w:rPr>
          <w:lang w:val="fr-FR"/>
        </w:rPr>
        <w:t>incident litigieux il était en état d</w:t>
      </w:r>
      <w:r w:rsidRPr="00FE3F9B" w:rsidR="00FE3F9B">
        <w:rPr>
          <w:lang w:val="fr-FR"/>
        </w:rPr>
        <w:t>’</w:t>
      </w:r>
      <w:r w:rsidRPr="00FE3F9B" w:rsidR="002A71BE">
        <w:rPr>
          <w:lang w:val="fr-FR"/>
        </w:rPr>
        <w:t>ébriété ;</w:t>
      </w:r>
    </w:p>
    <w:p w:rsidRPr="00FE3F9B" w:rsidR="004F7A1F" w:rsidP="00FE3F9B" w:rsidRDefault="004F7A1F">
      <w:pPr>
        <w:pStyle w:val="ECHRPara"/>
        <w:rPr>
          <w:lang w:val="fr-FR"/>
        </w:rPr>
      </w:pPr>
      <w:r w:rsidRPr="00FE3F9B">
        <w:rPr>
          <w:lang w:val="fr-FR"/>
        </w:rPr>
        <w:t xml:space="preserve">-  les </w:t>
      </w:r>
      <w:r w:rsidRPr="00FE3F9B" w:rsidR="00EF6FED">
        <w:rPr>
          <w:lang w:val="fr-FR"/>
        </w:rPr>
        <w:t xml:space="preserve">explications </w:t>
      </w:r>
      <w:r w:rsidRPr="00FE3F9B">
        <w:rPr>
          <w:lang w:val="fr-FR"/>
        </w:rPr>
        <w:t xml:space="preserve">de </w:t>
      </w:r>
      <w:r w:rsidRPr="00FE3F9B" w:rsidR="00CF230C">
        <w:rPr>
          <w:lang w:val="fr-FR"/>
        </w:rPr>
        <w:t>Sh</w:t>
      </w:r>
      <w:r w:rsidRPr="00FE3F9B">
        <w:rPr>
          <w:lang w:val="fr-FR"/>
        </w:rPr>
        <w:t>., la mère de la requérante,</w:t>
      </w:r>
      <w:r w:rsidRPr="00FE3F9B" w:rsidR="002A71BE">
        <w:rPr>
          <w:lang w:val="fr-FR"/>
        </w:rPr>
        <w:t xml:space="preserve"> obtenues à une date non </w:t>
      </w:r>
      <w:r w:rsidRPr="00FE3F9B" w:rsidR="006E3FC4">
        <w:rPr>
          <w:lang w:val="fr-FR"/>
        </w:rPr>
        <w:t>précisée</w:t>
      </w:r>
      <w:r w:rsidRPr="00FE3F9B" w:rsidR="002A71BE">
        <w:rPr>
          <w:lang w:val="fr-FR"/>
        </w:rPr>
        <w:t xml:space="preserve"> </w:t>
      </w:r>
      <w:r w:rsidRPr="00FE3F9B" w:rsidR="006E3FC4">
        <w:rPr>
          <w:lang w:val="fr-FR"/>
        </w:rPr>
        <w:t>en</w:t>
      </w:r>
      <w:r w:rsidRPr="00FE3F9B" w:rsidR="002A71BE">
        <w:rPr>
          <w:lang w:val="fr-FR"/>
        </w:rPr>
        <w:t xml:space="preserve"> 2001</w:t>
      </w:r>
      <w:r w:rsidRPr="00FE3F9B" w:rsidR="002944B0">
        <w:rPr>
          <w:lang w:val="fr-FR"/>
        </w:rPr>
        <w:t>,</w:t>
      </w:r>
      <w:r w:rsidRPr="00FE3F9B">
        <w:rPr>
          <w:lang w:val="fr-FR"/>
        </w:rPr>
        <w:t xml:space="preserve"> qui avait </w:t>
      </w:r>
      <w:r w:rsidRPr="00FE3F9B" w:rsidR="00EF6FED">
        <w:rPr>
          <w:lang w:val="fr-FR"/>
        </w:rPr>
        <w:t xml:space="preserve">déclaré </w:t>
      </w:r>
      <w:r w:rsidRPr="00FE3F9B">
        <w:rPr>
          <w:lang w:val="fr-FR"/>
        </w:rPr>
        <w:t xml:space="preserve">que le 6 novembre 2001 </w:t>
      </w:r>
      <w:r w:rsidRPr="00FE3F9B" w:rsidR="002944B0">
        <w:rPr>
          <w:lang w:val="fr-FR"/>
        </w:rPr>
        <w:t xml:space="preserve">cette dernière </w:t>
      </w:r>
      <w:r w:rsidRPr="00FE3F9B">
        <w:rPr>
          <w:lang w:val="fr-FR"/>
        </w:rPr>
        <w:t xml:space="preserve">était rentrée </w:t>
      </w:r>
      <w:r w:rsidRPr="00FE3F9B" w:rsidR="00986002">
        <w:rPr>
          <w:lang w:val="fr-FR"/>
        </w:rPr>
        <w:t xml:space="preserve">chez elle </w:t>
      </w:r>
      <w:r w:rsidRPr="00FE3F9B">
        <w:rPr>
          <w:lang w:val="fr-FR"/>
        </w:rPr>
        <w:t>vers 21 h</w:t>
      </w:r>
      <w:r w:rsidRPr="00FE3F9B" w:rsidR="002944B0">
        <w:rPr>
          <w:lang w:val="fr-FR"/>
        </w:rPr>
        <w:t xml:space="preserve">eures et </w:t>
      </w:r>
      <w:r w:rsidRPr="00FE3F9B">
        <w:rPr>
          <w:lang w:val="fr-FR"/>
        </w:rPr>
        <w:t>ne lui avait pas parlé d</w:t>
      </w:r>
      <w:r w:rsidRPr="00FE3F9B" w:rsidR="00FE3F9B">
        <w:rPr>
          <w:lang w:val="fr-FR"/>
        </w:rPr>
        <w:t>’</w:t>
      </w:r>
      <w:r w:rsidRPr="00FE3F9B" w:rsidR="002944B0">
        <w:rPr>
          <w:lang w:val="fr-FR"/>
        </w:rPr>
        <w:t>un</w:t>
      </w:r>
      <w:r w:rsidRPr="00FE3F9B">
        <w:rPr>
          <w:lang w:val="fr-FR"/>
        </w:rPr>
        <w:t xml:space="preserve"> quelconque incident</w:t>
      </w:r>
      <w:r w:rsidRPr="00FE3F9B" w:rsidR="002944B0">
        <w:rPr>
          <w:lang w:val="fr-FR"/>
        </w:rPr>
        <w:t xml:space="preserve">, et qui </w:t>
      </w:r>
      <w:r w:rsidRPr="00FE3F9B">
        <w:rPr>
          <w:lang w:val="fr-FR"/>
        </w:rPr>
        <w:t xml:space="preserve">avait </w:t>
      </w:r>
      <w:r w:rsidRPr="00FE3F9B" w:rsidR="002944B0">
        <w:rPr>
          <w:lang w:val="fr-FR"/>
        </w:rPr>
        <w:t xml:space="preserve">en outre </w:t>
      </w:r>
      <w:r w:rsidRPr="00FE3F9B" w:rsidR="00EF6FED">
        <w:rPr>
          <w:lang w:val="fr-FR"/>
        </w:rPr>
        <w:t xml:space="preserve">déclaré </w:t>
      </w:r>
      <w:r w:rsidRPr="00FE3F9B">
        <w:rPr>
          <w:lang w:val="fr-FR"/>
        </w:rPr>
        <w:t xml:space="preserve">ne pas avoir remarqué de lésions sur </w:t>
      </w:r>
      <w:r w:rsidRPr="00FE3F9B" w:rsidR="002944B0">
        <w:rPr>
          <w:lang w:val="fr-FR"/>
        </w:rPr>
        <w:t>sa fille</w:t>
      </w:r>
      <w:r w:rsidRPr="00FE3F9B">
        <w:rPr>
          <w:lang w:val="fr-FR"/>
        </w:rPr>
        <w:t> ;</w:t>
      </w:r>
    </w:p>
    <w:p w:rsidRPr="00FE3F9B" w:rsidR="00953EE7" w:rsidP="00FE3F9B" w:rsidRDefault="004F7A1F">
      <w:pPr>
        <w:pStyle w:val="ECHRPara"/>
        <w:rPr>
          <w:lang w:val="fr-FR"/>
        </w:rPr>
      </w:pPr>
      <w:r w:rsidRPr="00FE3F9B">
        <w:rPr>
          <w:lang w:val="fr-FR"/>
        </w:rPr>
        <w:t>-  </w:t>
      </w:r>
      <w:r w:rsidRPr="00FE3F9B" w:rsidR="00986002">
        <w:rPr>
          <w:lang w:val="fr-FR"/>
        </w:rPr>
        <w:t>le rapport d</w:t>
      </w:r>
      <w:r w:rsidRPr="00FE3F9B" w:rsidR="00FE3F9B">
        <w:rPr>
          <w:lang w:val="fr-FR"/>
        </w:rPr>
        <w:t>’</w:t>
      </w:r>
      <w:r w:rsidRPr="00FE3F9B" w:rsidR="002A71BE">
        <w:rPr>
          <w:lang w:val="fr-FR"/>
        </w:rPr>
        <w:t>inspection d</w:t>
      </w:r>
      <w:r w:rsidRPr="00FE3F9B" w:rsidR="002C4D02">
        <w:rPr>
          <w:lang w:val="fr-FR"/>
        </w:rPr>
        <w:t>u lieu de l</w:t>
      </w:r>
      <w:r w:rsidRPr="00FE3F9B" w:rsidR="00FE3F9B">
        <w:rPr>
          <w:lang w:val="fr-FR"/>
        </w:rPr>
        <w:t>’</w:t>
      </w:r>
      <w:r w:rsidRPr="00FE3F9B" w:rsidR="002C4D02">
        <w:rPr>
          <w:lang w:val="fr-FR"/>
        </w:rPr>
        <w:t>incident</w:t>
      </w:r>
      <w:r w:rsidRPr="00FE3F9B" w:rsidR="00A93AE8">
        <w:rPr>
          <w:lang w:val="fr-FR"/>
        </w:rPr>
        <w:t>,</w:t>
      </w:r>
      <w:r w:rsidRPr="00FE3F9B" w:rsidR="00A93391">
        <w:rPr>
          <w:lang w:val="fr-FR"/>
        </w:rPr>
        <w:t xml:space="preserve"> effectuée au mois de février 2002, </w:t>
      </w:r>
      <w:r w:rsidRPr="00FE3F9B" w:rsidR="00A93AE8">
        <w:rPr>
          <w:lang w:val="fr-FR"/>
        </w:rPr>
        <w:t>lors d</w:t>
      </w:r>
      <w:r w:rsidRPr="00FE3F9B" w:rsidR="002A71BE">
        <w:rPr>
          <w:lang w:val="fr-FR"/>
        </w:rPr>
        <w:t>e la</w:t>
      </w:r>
      <w:r w:rsidRPr="00FE3F9B" w:rsidR="00A93AE8">
        <w:rPr>
          <w:lang w:val="fr-FR"/>
        </w:rPr>
        <w:t>quel</w:t>
      </w:r>
      <w:r w:rsidRPr="00FE3F9B" w:rsidR="002A71BE">
        <w:rPr>
          <w:lang w:val="fr-FR"/>
        </w:rPr>
        <w:t>le</w:t>
      </w:r>
      <w:r w:rsidRPr="00FE3F9B" w:rsidR="00A93AE8">
        <w:rPr>
          <w:lang w:val="fr-FR"/>
        </w:rPr>
        <w:t xml:space="preserve"> l</w:t>
      </w:r>
      <w:r w:rsidRPr="00FE3F9B" w:rsidR="00FE3F9B">
        <w:rPr>
          <w:lang w:val="fr-FR"/>
        </w:rPr>
        <w:t>’</w:t>
      </w:r>
      <w:r w:rsidRPr="00FE3F9B" w:rsidR="00A93AE8">
        <w:rPr>
          <w:lang w:val="fr-FR"/>
        </w:rPr>
        <w:t xml:space="preserve">enquêteur </w:t>
      </w:r>
      <w:r w:rsidRPr="00FE3F9B" w:rsidR="00791305">
        <w:rPr>
          <w:lang w:val="fr-FR"/>
        </w:rPr>
        <w:t xml:space="preserve">consigna </w:t>
      </w:r>
      <w:r w:rsidRPr="00FE3F9B" w:rsidR="00A93AE8">
        <w:rPr>
          <w:lang w:val="fr-FR"/>
        </w:rPr>
        <w:t>la disposition de la maison de R.</w:t>
      </w:r>
      <w:r w:rsidRPr="00FE3F9B" w:rsidR="002C4D02">
        <w:rPr>
          <w:lang w:val="fr-FR"/>
        </w:rPr>
        <w:t> ;</w:t>
      </w:r>
    </w:p>
    <w:p w:rsidRPr="00FE3F9B" w:rsidR="00953EE7" w:rsidP="00FE3F9B" w:rsidRDefault="004F7A1F">
      <w:pPr>
        <w:pStyle w:val="ECHRPara"/>
        <w:rPr>
          <w:lang w:val="fr-FR"/>
        </w:rPr>
      </w:pPr>
      <w:r w:rsidRPr="00FE3F9B">
        <w:rPr>
          <w:lang w:val="fr-FR"/>
        </w:rPr>
        <w:t>-  </w:t>
      </w:r>
      <w:r w:rsidRPr="00FE3F9B" w:rsidR="0078020D">
        <w:rPr>
          <w:lang w:val="fr-FR"/>
        </w:rPr>
        <w:t xml:space="preserve">les </w:t>
      </w:r>
      <w:r w:rsidRPr="00FE3F9B" w:rsidR="00EF6FED">
        <w:rPr>
          <w:lang w:val="fr-FR"/>
        </w:rPr>
        <w:t xml:space="preserve">explications </w:t>
      </w:r>
      <w:r w:rsidRPr="00FE3F9B" w:rsidR="0078020D">
        <w:rPr>
          <w:lang w:val="fr-FR"/>
        </w:rPr>
        <w:t>de Z., voisine de R.</w:t>
      </w:r>
      <w:r w:rsidRPr="00FE3F9B" w:rsidR="00A93AE8">
        <w:rPr>
          <w:lang w:val="fr-FR"/>
        </w:rPr>
        <w:t xml:space="preserve">, </w:t>
      </w:r>
      <w:r w:rsidRPr="00FE3F9B" w:rsidR="00FC5379">
        <w:rPr>
          <w:lang w:val="fr-FR"/>
        </w:rPr>
        <w:t xml:space="preserve">en date </w:t>
      </w:r>
      <w:r w:rsidRPr="00FE3F9B" w:rsidR="00A93391">
        <w:rPr>
          <w:lang w:val="fr-FR"/>
        </w:rPr>
        <w:t>du 9 février 2002</w:t>
      </w:r>
      <w:r w:rsidRPr="00FE3F9B" w:rsidR="00FC5379">
        <w:rPr>
          <w:lang w:val="fr-FR"/>
        </w:rPr>
        <w:t>,</w:t>
      </w:r>
      <w:r w:rsidRPr="00FE3F9B" w:rsidR="00A93391">
        <w:rPr>
          <w:lang w:val="fr-FR"/>
        </w:rPr>
        <w:t xml:space="preserve"> </w:t>
      </w:r>
      <w:r w:rsidRPr="00FE3F9B" w:rsidR="00A93AE8">
        <w:rPr>
          <w:lang w:val="fr-FR"/>
        </w:rPr>
        <w:t xml:space="preserve">qui avait </w:t>
      </w:r>
      <w:r w:rsidRPr="00FE3F9B" w:rsidR="00EF6FED">
        <w:rPr>
          <w:lang w:val="fr-FR"/>
        </w:rPr>
        <w:t xml:space="preserve">déclaré </w:t>
      </w:r>
      <w:r w:rsidRPr="00FE3F9B" w:rsidR="00A93AE8">
        <w:rPr>
          <w:lang w:val="fr-FR"/>
        </w:rPr>
        <w:t>que le 6 novembre 2001 la requérante s</w:t>
      </w:r>
      <w:r w:rsidRPr="00FE3F9B" w:rsidR="00FE3F9B">
        <w:rPr>
          <w:lang w:val="fr-FR"/>
        </w:rPr>
        <w:t>’</w:t>
      </w:r>
      <w:r w:rsidRPr="00FE3F9B" w:rsidR="00A93AE8">
        <w:rPr>
          <w:lang w:val="fr-FR"/>
        </w:rPr>
        <w:t>était rendu</w:t>
      </w:r>
      <w:r w:rsidRPr="00FE3F9B" w:rsidR="00DE6DED">
        <w:rPr>
          <w:lang w:val="fr-FR"/>
        </w:rPr>
        <w:t>e</w:t>
      </w:r>
      <w:r w:rsidRPr="00FE3F9B" w:rsidR="00A93AE8">
        <w:rPr>
          <w:lang w:val="fr-FR"/>
        </w:rPr>
        <w:t xml:space="preserve"> chez elle pour appeler la police</w:t>
      </w:r>
      <w:r w:rsidRPr="00FE3F9B" w:rsidR="0078020D">
        <w:rPr>
          <w:lang w:val="fr-FR"/>
        </w:rPr>
        <w:t> ;</w:t>
      </w:r>
    </w:p>
    <w:p w:rsidRPr="00FE3F9B" w:rsidR="00953EE7" w:rsidP="00FE3F9B" w:rsidRDefault="004F7A1F">
      <w:pPr>
        <w:pStyle w:val="ECHRPara"/>
        <w:rPr>
          <w:lang w:val="fr-FR"/>
        </w:rPr>
      </w:pPr>
      <w:r w:rsidRPr="00FE3F9B">
        <w:rPr>
          <w:lang w:val="fr-FR"/>
        </w:rPr>
        <w:t>-  </w:t>
      </w:r>
      <w:r w:rsidRPr="00FE3F9B" w:rsidR="0078020D">
        <w:rPr>
          <w:lang w:val="fr-FR"/>
        </w:rPr>
        <w:t xml:space="preserve">les </w:t>
      </w:r>
      <w:r w:rsidRPr="00FE3F9B" w:rsidR="00EF6FED">
        <w:rPr>
          <w:lang w:val="fr-FR"/>
        </w:rPr>
        <w:t>explications</w:t>
      </w:r>
      <w:r w:rsidRPr="00FE3F9B" w:rsidR="0078020D">
        <w:rPr>
          <w:lang w:val="fr-FR"/>
        </w:rPr>
        <w:t xml:space="preserve"> supplémentaires de B.</w:t>
      </w:r>
      <w:r w:rsidRPr="00FE3F9B" w:rsidR="00775255">
        <w:rPr>
          <w:lang w:val="fr-FR"/>
        </w:rPr>
        <w:t xml:space="preserve"> </w:t>
      </w:r>
      <w:r w:rsidRPr="00FE3F9B" w:rsidR="00450DC0">
        <w:rPr>
          <w:lang w:val="fr-FR"/>
        </w:rPr>
        <w:t>recueillies</w:t>
      </w:r>
      <w:r w:rsidRPr="00FE3F9B" w:rsidR="00775255">
        <w:rPr>
          <w:lang w:val="fr-FR"/>
        </w:rPr>
        <w:t xml:space="preserve"> le</w:t>
      </w:r>
      <w:r w:rsidRPr="00FE3F9B" w:rsidR="00A93391">
        <w:rPr>
          <w:lang w:val="fr-FR"/>
        </w:rPr>
        <w:t xml:space="preserve"> 22 février 2002, </w:t>
      </w:r>
      <w:r w:rsidRPr="00FE3F9B" w:rsidR="00A93AE8">
        <w:rPr>
          <w:lang w:val="fr-FR"/>
        </w:rPr>
        <w:t>qui avait</w:t>
      </w:r>
      <w:r w:rsidRPr="00FE3F9B" w:rsidR="00A93391">
        <w:rPr>
          <w:lang w:val="fr-FR"/>
        </w:rPr>
        <w:t xml:space="preserve"> précisé </w:t>
      </w:r>
      <w:r w:rsidRPr="00FE3F9B" w:rsidR="00C933DB">
        <w:rPr>
          <w:lang w:val="fr-FR"/>
        </w:rPr>
        <w:t>s</w:t>
      </w:r>
      <w:r w:rsidRPr="00FE3F9B" w:rsidR="00775255">
        <w:rPr>
          <w:lang w:val="fr-FR"/>
        </w:rPr>
        <w:t>a</w:t>
      </w:r>
      <w:r w:rsidRPr="00FE3F9B" w:rsidR="00C933DB">
        <w:rPr>
          <w:lang w:val="fr-FR"/>
        </w:rPr>
        <w:t xml:space="preserve"> position </w:t>
      </w:r>
      <w:r w:rsidRPr="00FE3F9B" w:rsidR="00986002">
        <w:rPr>
          <w:lang w:val="fr-FR"/>
        </w:rPr>
        <w:t xml:space="preserve">dans la rue </w:t>
      </w:r>
      <w:r w:rsidRPr="00FE3F9B" w:rsidR="00C933DB">
        <w:rPr>
          <w:lang w:val="fr-FR"/>
        </w:rPr>
        <w:t>par rapport à la maison de R. lors des évènements du 6 novembre 2001</w:t>
      </w:r>
      <w:r w:rsidRPr="00FE3F9B" w:rsidR="0078020D">
        <w:rPr>
          <w:lang w:val="fr-FR"/>
        </w:rPr>
        <w:t> ;</w:t>
      </w:r>
    </w:p>
    <w:p w:rsidRPr="00FE3F9B" w:rsidR="00953EE7" w:rsidP="00FE3F9B" w:rsidRDefault="004F7A1F">
      <w:pPr>
        <w:pStyle w:val="ECHRPara"/>
        <w:rPr>
          <w:lang w:val="fr-FR"/>
        </w:rPr>
      </w:pPr>
      <w:r w:rsidRPr="00FE3F9B">
        <w:rPr>
          <w:lang w:val="fr-FR"/>
        </w:rPr>
        <w:t>-  </w:t>
      </w:r>
      <w:r w:rsidRPr="00FE3F9B" w:rsidR="0078020D">
        <w:rPr>
          <w:lang w:val="fr-FR"/>
        </w:rPr>
        <w:t xml:space="preserve">les </w:t>
      </w:r>
      <w:r w:rsidRPr="00FE3F9B" w:rsidR="00EF6FED">
        <w:rPr>
          <w:lang w:val="fr-FR"/>
        </w:rPr>
        <w:t>explications</w:t>
      </w:r>
      <w:r w:rsidRPr="00FE3F9B" w:rsidR="0078020D">
        <w:rPr>
          <w:lang w:val="fr-FR"/>
        </w:rPr>
        <w:t xml:space="preserve"> de S., </w:t>
      </w:r>
      <w:r w:rsidRPr="00FE3F9B" w:rsidR="0074108E">
        <w:rPr>
          <w:lang w:val="fr-FR"/>
        </w:rPr>
        <w:t xml:space="preserve">un </w:t>
      </w:r>
      <w:r w:rsidRPr="00FE3F9B" w:rsidR="0078020D">
        <w:rPr>
          <w:lang w:val="fr-FR"/>
        </w:rPr>
        <w:t>ami de B.</w:t>
      </w:r>
      <w:r w:rsidRPr="00FE3F9B" w:rsidR="00A93AE8">
        <w:rPr>
          <w:lang w:val="fr-FR"/>
        </w:rPr>
        <w:t xml:space="preserve">, </w:t>
      </w:r>
      <w:r w:rsidRPr="00FE3F9B" w:rsidR="00450DC0">
        <w:rPr>
          <w:lang w:val="fr-FR"/>
        </w:rPr>
        <w:t>en date</w:t>
      </w:r>
      <w:r w:rsidRPr="00FE3F9B" w:rsidR="005D6CE4">
        <w:rPr>
          <w:lang w:val="fr-FR"/>
        </w:rPr>
        <w:t xml:space="preserve"> </w:t>
      </w:r>
      <w:r w:rsidRPr="00FE3F9B" w:rsidR="00C933DB">
        <w:rPr>
          <w:lang w:val="fr-FR"/>
        </w:rPr>
        <w:t>du 23 février 2002</w:t>
      </w:r>
      <w:r w:rsidRPr="00FE3F9B" w:rsidR="005D6CE4">
        <w:rPr>
          <w:lang w:val="fr-FR"/>
        </w:rPr>
        <w:t>,</w:t>
      </w:r>
      <w:r w:rsidRPr="00FE3F9B" w:rsidR="00C933DB">
        <w:rPr>
          <w:lang w:val="fr-FR"/>
        </w:rPr>
        <w:t xml:space="preserve"> </w:t>
      </w:r>
      <w:r w:rsidRPr="00FE3F9B" w:rsidR="00A93AE8">
        <w:rPr>
          <w:lang w:val="fr-FR"/>
        </w:rPr>
        <w:t>qui avait affirmé que B. lui avait parlé d</w:t>
      </w:r>
      <w:r w:rsidRPr="00FE3F9B" w:rsidR="00FE3F9B">
        <w:rPr>
          <w:lang w:val="fr-FR"/>
        </w:rPr>
        <w:t>’</w:t>
      </w:r>
      <w:r w:rsidRPr="00FE3F9B" w:rsidR="00A93AE8">
        <w:rPr>
          <w:lang w:val="fr-FR"/>
        </w:rPr>
        <w:t xml:space="preserve">un incident dont </w:t>
      </w:r>
      <w:r w:rsidRPr="00FE3F9B" w:rsidR="005D6CE4">
        <w:rPr>
          <w:lang w:val="fr-FR"/>
        </w:rPr>
        <w:t>il</w:t>
      </w:r>
      <w:r w:rsidRPr="00FE3F9B" w:rsidR="000B085D">
        <w:rPr>
          <w:lang w:val="fr-FR"/>
        </w:rPr>
        <w:t xml:space="preserve"> aurait été témoin le 6 </w:t>
      </w:r>
      <w:r w:rsidRPr="00FE3F9B" w:rsidR="00A93AE8">
        <w:rPr>
          <w:lang w:val="fr-FR"/>
        </w:rPr>
        <w:t>novembre 2001</w:t>
      </w:r>
      <w:r w:rsidRPr="00FE3F9B" w:rsidR="0078020D">
        <w:rPr>
          <w:lang w:val="fr-FR"/>
        </w:rPr>
        <w:t> ;</w:t>
      </w:r>
    </w:p>
    <w:p w:rsidRPr="00FE3F9B" w:rsidR="00953EE7" w:rsidP="00FE3F9B" w:rsidRDefault="004F7A1F">
      <w:pPr>
        <w:pStyle w:val="ECHRPara"/>
        <w:rPr>
          <w:lang w:val="fr-FR"/>
        </w:rPr>
      </w:pPr>
      <w:r w:rsidRPr="00FE3F9B">
        <w:rPr>
          <w:lang w:val="fr-FR"/>
        </w:rPr>
        <w:t>-  </w:t>
      </w:r>
      <w:r w:rsidRPr="00FE3F9B" w:rsidR="00372C3F">
        <w:rPr>
          <w:lang w:val="fr-FR"/>
        </w:rPr>
        <w:t xml:space="preserve">les </w:t>
      </w:r>
      <w:r w:rsidRPr="00FE3F9B" w:rsidR="00EF6FED">
        <w:rPr>
          <w:lang w:val="fr-FR"/>
        </w:rPr>
        <w:t>explications</w:t>
      </w:r>
      <w:r w:rsidRPr="00FE3F9B" w:rsidR="00372C3F">
        <w:rPr>
          <w:lang w:val="fr-FR"/>
        </w:rPr>
        <w:t xml:space="preserve"> de L</w:t>
      </w:r>
      <w:r w:rsidRPr="00FE3F9B" w:rsidR="0074108E">
        <w:rPr>
          <w:lang w:val="fr-FR"/>
        </w:rPr>
        <w:t>., le fils cadet de R.</w:t>
      </w:r>
      <w:r w:rsidRPr="00FE3F9B" w:rsidR="007E4887">
        <w:rPr>
          <w:lang w:val="fr-FR"/>
        </w:rPr>
        <w:t xml:space="preserve">, </w:t>
      </w:r>
      <w:r w:rsidRPr="00FE3F9B" w:rsidR="005D6CE4">
        <w:rPr>
          <w:lang w:val="fr-FR"/>
        </w:rPr>
        <w:t xml:space="preserve">datées </w:t>
      </w:r>
      <w:r w:rsidRPr="00FE3F9B" w:rsidR="00C933DB">
        <w:rPr>
          <w:lang w:val="fr-FR"/>
        </w:rPr>
        <w:t>du 11 mai 2004</w:t>
      </w:r>
      <w:r w:rsidRPr="00FE3F9B" w:rsidR="005D6CE4">
        <w:rPr>
          <w:lang w:val="fr-FR"/>
        </w:rPr>
        <w:t>,</w:t>
      </w:r>
      <w:r w:rsidRPr="00FE3F9B" w:rsidR="00C933DB">
        <w:rPr>
          <w:lang w:val="fr-FR"/>
        </w:rPr>
        <w:t xml:space="preserve"> </w:t>
      </w:r>
      <w:r w:rsidRPr="00FE3F9B" w:rsidR="007E4887">
        <w:rPr>
          <w:lang w:val="fr-FR"/>
        </w:rPr>
        <w:t xml:space="preserve">qui avait </w:t>
      </w:r>
      <w:r w:rsidRPr="00FE3F9B" w:rsidR="00EF6FED">
        <w:rPr>
          <w:lang w:val="fr-FR"/>
        </w:rPr>
        <w:t>déclaré</w:t>
      </w:r>
      <w:r w:rsidRPr="00FE3F9B" w:rsidR="00450DC0">
        <w:rPr>
          <w:lang w:val="fr-FR"/>
        </w:rPr>
        <w:t xml:space="preserve"> </w:t>
      </w:r>
      <w:r w:rsidRPr="00FE3F9B" w:rsidR="005D6CE4">
        <w:rPr>
          <w:lang w:val="fr-FR"/>
        </w:rPr>
        <w:t>avoir été témoin</w:t>
      </w:r>
      <w:r w:rsidRPr="00FE3F9B" w:rsidR="000B085D">
        <w:rPr>
          <w:lang w:val="fr-FR"/>
        </w:rPr>
        <w:t xml:space="preserve"> le 6 novembre 2001 </w:t>
      </w:r>
      <w:r w:rsidRPr="00FE3F9B" w:rsidR="007E4887">
        <w:rPr>
          <w:lang w:val="fr-FR"/>
        </w:rPr>
        <w:t>d</w:t>
      </w:r>
      <w:r w:rsidRPr="00FE3F9B" w:rsidR="00FE3F9B">
        <w:rPr>
          <w:lang w:val="fr-FR"/>
        </w:rPr>
        <w:t>’</w:t>
      </w:r>
      <w:r w:rsidRPr="00FE3F9B" w:rsidR="007E4887">
        <w:rPr>
          <w:lang w:val="fr-FR"/>
        </w:rPr>
        <w:t xml:space="preserve">un incident </w:t>
      </w:r>
      <w:r w:rsidRPr="00FE3F9B" w:rsidR="005D6CE4">
        <w:rPr>
          <w:lang w:val="fr-FR"/>
        </w:rPr>
        <w:t xml:space="preserve">survenu </w:t>
      </w:r>
      <w:r w:rsidRPr="00FE3F9B" w:rsidR="007E4887">
        <w:rPr>
          <w:lang w:val="fr-FR"/>
        </w:rPr>
        <w:t xml:space="preserve">entre la requérante et </w:t>
      </w:r>
      <w:r w:rsidRPr="00FE3F9B" w:rsidR="000B085D">
        <w:rPr>
          <w:lang w:val="fr-FR"/>
        </w:rPr>
        <w:t>d</w:t>
      </w:r>
      <w:r w:rsidRPr="00FE3F9B" w:rsidR="007E4887">
        <w:rPr>
          <w:lang w:val="fr-FR"/>
        </w:rPr>
        <w:t xml:space="preserve">es </w:t>
      </w:r>
      <w:r w:rsidRPr="00FE3F9B" w:rsidR="000B085D">
        <w:rPr>
          <w:lang w:val="fr-FR"/>
        </w:rPr>
        <w:t>policiers</w:t>
      </w:r>
      <w:r w:rsidRPr="00FE3F9B" w:rsidR="007E4887">
        <w:rPr>
          <w:lang w:val="fr-FR"/>
        </w:rPr>
        <w:t xml:space="preserve"> mais </w:t>
      </w:r>
      <w:r w:rsidRPr="00FE3F9B" w:rsidR="005D6CE4">
        <w:rPr>
          <w:lang w:val="fr-FR"/>
        </w:rPr>
        <w:t>ne pas se souvenir</w:t>
      </w:r>
      <w:r w:rsidRPr="00FE3F9B" w:rsidR="007E4887">
        <w:rPr>
          <w:lang w:val="fr-FR"/>
        </w:rPr>
        <w:t xml:space="preserve"> de</w:t>
      </w:r>
      <w:r w:rsidRPr="00FE3F9B" w:rsidR="005D6CE4">
        <w:rPr>
          <w:lang w:val="fr-FR"/>
        </w:rPr>
        <w:t>s</w:t>
      </w:r>
      <w:r w:rsidRPr="00FE3F9B" w:rsidR="007E4887">
        <w:rPr>
          <w:lang w:val="fr-FR"/>
        </w:rPr>
        <w:t xml:space="preserve"> détails</w:t>
      </w:r>
      <w:r w:rsidRPr="00FE3F9B" w:rsidR="000B085D">
        <w:rPr>
          <w:lang w:val="fr-FR"/>
        </w:rPr>
        <w:t xml:space="preserve"> de ce qui s</w:t>
      </w:r>
      <w:r w:rsidRPr="00FE3F9B" w:rsidR="00FE3F9B">
        <w:rPr>
          <w:lang w:val="fr-FR"/>
        </w:rPr>
        <w:t>’</w:t>
      </w:r>
      <w:r w:rsidRPr="00FE3F9B" w:rsidR="000B085D">
        <w:rPr>
          <w:lang w:val="fr-FR"/>
        </w:rPr>
        <w:t>était passé</w:t>
      </w:r>
      <w:r w:rsidRPr="00FE3F9B" w:rsidR="0074108E">
        <w:rPr>
          <w:lang w:val="fr-FR"/>
        </w:rPr>
        <w:t> ;</w:t>
      </w:r>
    </w:p>
    <w:p w:rsidRPr="00FE3F9B" w:rsidR="00953EE7" w:rsidP="00FE3F9B" w:rsidRDefault="00A93391">
      <w:pPr>
        <w:pStyle w:val="ECHRPara"/>
        <w:rPr>
          <w:lang w:val="fr-FR"/>
        </w:rPr>
      </w:pPr>
      <w:r w:rsidRPr="00FE3F9B">
        <w:rPr>
          <w:lang w:val="fr-FR"/>
        </w:rPr>
        <w:t xml:space="preserve">-  les </w:t>
      </w:r>
      <w:r w:rsidRPr="00FE3F9B" w:rsidR="00EF6FED">
        <w:rPr>
          <w:lang w:val="fr-FR"/>
        </w:rPr>
        <w:t>explications</w:t>
      </w:r>
      <w:r w:rsidRPr="00FE3F9B">
        <w:rPr>
          <w:lang w:val="fr-FR"/>
        </w:rPr>
        <w:t xml:space="preserve"> supplémentaires de B.</w:t>
      </w:r>
      <w:r w:rsidRPr="00FE3F9B" w:rsidR="005D6CE4">
        <w:rPr>
          <w:lang w:val="fr-FR"/>
        </w:rPr>
        <w:t xml:space="preserve"> </w:t>
      </w:r>
      <w:r w:rsidRPr="00FE3F9B" w:rsidR="006B1509">
        <w:rPr>
          <w:lang w:val="fr-FR"/>
        </w:rPr>
        <w:t>en date du</w:t>
      </w:r>
      <w:r w:rsidRPr="00FE3F9B">
        <w:rPr>
          <w:lang w:val="fr-FR"/>
        </w:rPr>
        <w:t xml:space="preserve"> 17 mai 2004</w:t>
      </w:r>
      <w:r w:rsidRPr="00FE3F9B" w:rsidR="005D6CE4">
        <w:rPr>
          <w:lang w:val="fr-FR"/>
        </w:rPr>
        <w:t>,</w:t>
      </w:r>
      <w:r w:rsidRPr="00FE3F9B">
        <w:rPr>
          <w:lang w:val="fr-FR"/>
        </w:rPr>
        <w:t xml:space="preserve"> qui avait modifié ses déclarations </w:t>
      </w:r>
      <w:r w:rsidRPr="00FE3F9B" w:rsidR="005D6CE4">
        <w:rPr>
          <w:lang w:val="fr-FR"/>
        </w:rPr>
        <w:t>s</w:t>
      </w:r>
      <w:r w:rsidRPr="00FE3F9B" w:rsidR="00FE3F9B">
        <w:rPr>
          <w:lang w:val="fr-FR"/>
        </w:rPr>
        <w:t>’</w:t>
      </w:r>
      <w:r w:rsidRPr="00FE3F9B" w:rsidR="005D6CE4">
        <w:rPr>
          <w:lang w:val="fr-FR"/>
        </w:rPr>
        <w:t>agissant d</w:t>
      </w:r>
      <w:r w:rsidRPr="00FE3F9B">
        <w:rPr>
          <w:lang w:val="fr-FR"/>
        </w:rPr>
        <w:t>es raisons pour lesquelles il se trouvait dans la rue au moment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intervention de P. et T. ;</w:t>
      </w:r>
    </w:p>
    <w:p w:rsidRPr="00FE3F9B" w:rsidR="00953EE7" w:rsidP="00FE3F9B" w:rsidRDefault="004F7A1F">
      <w:pPr>
        <w:pStyle w:val="ECHRPara"/>
        <w:rPr>
          <w:lang w:val="fr-FR"/>
        </w:rPr>
      </w:pPr>
      <w:r w:rsidRPr="00FE3F9B">
        <w:rPr>
          <w:lang w:val="fr-FR"/>
        </w:rPr>
        <w:t>-  </w:t>
      </w:r>
      <w:r w:rsidRPr="00FE3F9B" w:rsidR="0074108E">
        <w:rPr>
          <w:lang w:val="fr-FR"/>
        </w:rPr>
        <w:t xml:space="preserve">les </w:t>
      </w:r>
      <w:r w:rsidRPr="00FE3F9B" w:rsidR="00EF6FED">
        <w:rPr>
          <w:lang w:val="fr-FR"/>
        </w:rPr>
        <w:t>explications</w:t>
      </w:r>
      <w:r w:rsidRPr="00FE3F9B" w:rsidR="0074108E">
        <w:rPr>
          <w:lang w:val="fr-FR"/>
        </w:rPr>
        <w:t xml:space="preserve"> de K., médecin du service de traumatologie</w:t>
      </w:r>
      <w:r w:rsidRPr="00FE3F9B" w:rsidR="000E3925">
        <w:rPr>
          <w:lang w:val="fr-FR"/>
        </w:rPr>
        <w:t xml:space="preserve"> </w:t>
      </w:r>
      <w:r w:rsidRPr="00FE3F9B" w:rsidR="00986002">
        <w:rPr>
          <w:lang w:val="fr-FR"/>
        </w:rPr>
        <w:t xml:space="preserve">de </w:t>
      </w:r>
      <w:r w:rsidRPr="00FE3F9B" w:rsidR="000E3925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 w:rsidR="000E3925">
        <w:rPr>
          <w:lang w:val="fr-FR"/>
        </w:rPr>
        <w:t>arrondissement Avtozavodski de Nijni Novgorod</w:t>
      </w:r>
      <w:r w:rsidRPr="00FE3F9B" w:rsidR="007E4887">
        <w:rPr>
          <w:lang w:val="fr-FR"/>
        </w:rPr>
        <w:t xml:space="preserve">, </w:t>
      </w:r>
      <w:r w:rsidRPr="00FE3F9B" w:rsidR="006B1509">
        <w:rPr>
          <w:lang w:val="fr-FR"/>
        </w:rPr>
        <w:t xml:space="preserve">en date </w:t>
      </w:r>
      <w:r w:rsidRPr="00FE3F9B" w:rsidR="00C933DB">
        <w:rPr>
          <w:lang w:val="fr-FR"/>
        </w:rPr>
        <w:t>du 16 septembre 2004</w:t>
      </w:r>
      <w:r w:rsidRPr="00FE3F9B" w:rsidR="00E11A7D">
        <w:rPr>
          <w:lang w:val="fr-FR"/>
        </w:rPr>
        <w:t>,</w:t>
      </w:r>
      <w:r w:rsidRPr="00FE3F9B" w:rsidR="00C933DB">
        <w:rPr>
          <w:lang w:val="fr-FR"/>
        </w:rPr>
        <w:t xml:space="preserve"> </w:t>
      </w:r>
      <w:r w:rsidRPr="00FE3F9B" w:rsidR="00986002">
        <w:rPr>
          <w:lang w:val="fr-FR"/>
        </w:rPr>
        <w:t xml:space="preserve">qui avait </w:t>
      </w:r>
      <w:r w:rsidRPr="00FE3F9B" w:rsidR="00EF6FED">
        <w:rPr>
          <w:lang w:val="fr-FR"/>
        </w:rPr>
        <w:t xml:space="preserve">déclaré </w:t>
      </w:r>
      <w:r w:rsidRPr="00FE3F9B" w:rsidR="00986002">
        <w:rPr>
          <w:lang w:val="fr-FR"/>
        </w:rPr>
        <w:t>ne</w:t>
      </w:r>
      <w:r w:rsidRPr="00FE3F9B" w:rsidR="007E4887">
        <w:rPr>
          <w:lang w:val="fr-FR"/>
        </w:rPr>
        <w:t xml:space="preserve"> se souvenir </w:t>
      </w:r>
      <w:r w:rsidRPr="00FE3F9B" w:rsidR="00B945F0">
        <w:rPr>
          <w:lang w:val="fr-FR"/>
        </w:rPr>
        <w:t xml:space="preserve">ni de la requérante ni </w:t>
      </w:r>
      <w:r w:rsidRPr="00FE3F9B" w:rsidR="007E4887">
        <w:rPr>
          <w:lang w:val="fr-FR"/>
        </w:rPr>
        <w:t>des circonstances dans lesquel</w:t>
      </w:r>
      <w:r w:rsidRPr="00FE3F9B" w:rsidR="00986002">
        <w:rPr>
          <w:lang w:val="fr-FR"/>
        </w:rPr>
        <w:t>le</w:t>
      </w:r>
      <w:r w:rsidRPr="00FE3F9B" w:rsidR="007E4887">
        <w:rPr>
          <w:lang w:val="fr-FR"/>
        </w:rPr>
        <w:t>s il avait établi l</w:t>
      </w:r>
      <w:r w:rsidRPr="00FE3F9B" w:rsidR="00FE3F9B">
        <w:rPr>
          <w:lang w:val="fr-FR"/>
        </w:rPr>
        <w:t>’</w:t>
      </w:r>
      <w:r w:rsidRPr="00FE3F9B" w:rsidR="007E4887">
        <w:rPr>
          <w:lang w:val="fr-FR"/>
        </w:rPr>
        <w:t>attestation du 6 novembre 2001</w:t>
      </w:r>
      <w:r w:rsidRPr="00FE3F9B" w:rsidR="00E11A7D">
        <w:rPr>
          <w:lang w:val="fr-FR"/>
        </w:rPr>
        <w:t xml:space="preserve">, mais </w:t>
      </w:r>
      <w:r w:rsidRPr="00FE3F9B" w:rsidR="007E4887">
        <w:rPr>
          <w:lang w:val="fr-FR"/>
        </w:rPr>
        <w:t xml:space="preserve">avait affirmé </w:t>
      </w:r>
      <w:r w:rsidRPr="00FE3F9B" w:rsidR="00E11A7D">
        <w:rPr>
          <w:lang w:val="fr-FR"/>
        </w:rPr>
        <w:t>avoir</w:t>
      </w:r>
      <w:r w:rsidRPr="00FE3F9B" w:rsidR="007E4887">
        <w:rPr>
          <w:lang w:val="fr-FR"/>
        </w:rPr>
        <w:t xml:space="preserve"> consigné toutes les lésions </w:t>
      </w:r>
      <w:r w:rsidRPr="00FE3F9B" w:rsidR="003922DF">
        <w:rPr>
          <w:lang w:val="fr-FR"/>
        </w:rPr>
        <w:t>mentionnées par</w:t>
      </w:r>
      <w:r w:rsidRPr="00FE3F9B" w:rsidR="007E4887">
        <w:rPr>
          <w:lang w:val="fr-FR"/>
        </w:rPr>
        <w:t xml:space="preserve"> la requérante</w:t>
      </w:r>
      <w:r w:rsidRPr="00FE3F9B" w:rsidR="0074108E">
        <w:rPr>
          <w:lang w:val="fr-FR"/>
        </w:rPr>
        <w:t> ;</w:t>
      </w:r>
    </w:p>
    <w:p w:rsidRPr="00FE3F9B" w:rsidR="00953EE7" w:rsidP="00FE3F9B" w:rsidRDefault="004F7A1F">
      <w:pPr>
        <w:pStyle w:val="ECHRPara"/>
        <w:rPr>
          <w:lang w:val="fr-FR"/>
        </w:rPr>
      </w:pPr>
      <w:r w:rsidRPr="00FE3F9B">
        <w:rPr>
          <w:lang w:val="fr-FR"/>
        </w:rPr>
        <w:t>-  </w:t>
      </w:r>
      <w:r w:rsidRPr="00FE3F9B" w:rsidR="00262406">
        <w:rPr>
          <w:lang w:val="fr-FR"/>
        </w:rPr>
        <w:t>le rapport d</w:t>
      </w:r>
      <w:r w:rsidRPr="00FE3F9B" w:rsidR="00FE3F9B">
        <w:rPr>
          <w:lang w:val="fr-FR"/>
        </w:rPr>
        <w:t>’</w:t>
      </w:r>
      <w:r w:rsidRPr="00FE3F9B" w:rsidR="002A71BE">
        <w:rPr>
          <w:lang w:val="fr-FR"/>
        </w:rPr>
        <w:t xml:space="preserve">inspection </w:t>
      </w:r>
      <w:r w:rsidRPr="00FE3F9B" w:rsidR="0074108E">
        <w:rPr>
          <w:lang w:val="fr-FR"/>
        </w:rPr>
        <w:t>supplémentaire du lieu de l</w:t>
      </w:r>
      <w:r w:rsidRPr="00FE3F9B" w:rsidR="00FE3F9B">
        <w:rPr>
          <w:lang w:val="fr-FR"/>
        </w:rPr>
        <w:t>’</w:t>
      </w:r>
      <w:r w:rsidRPr="00FE3F9B" w:rsidR="0074108E">
        <w:rPr>
          <w:lang w:val="fr-FR"/>
        </w:rPr>
        <w:t>incident</w:t>
      </w:r>
      <w:r w:rsidRPr="00FE3F9B" w:rsidR="00C933DB">
        <w:rPr>
          <w:lang w:val="fr-FR"/>
        </w:rPr>
        <w:t xml:space="preserve"> </w:t>
      </w:r>
      <w:r w:rsidRPr="00FE3F9B" w:rsidR="00262406">
        <w:rPr>
          <w:lang w:val="fr-FR"/>
        </w:rPr>
        <w:t>effectuée le 21 </w:t>
      </w:r>
      <w:r w:rsidRPr="00FE3F9B" w:rsidR="00C933DB">
        <w:rPr>
          <w:lang w:val="fr-FR"/>
        </w:rPr>
        <w:t>septembre 2004</w:t>
      </w:r>
      <w:r w:rsidRPr="00FE3F9B" w:rsidR="0074108E">
        <w:rPr>
          <w:lang w:val="fr-FR"/>
        </w:rPr>
        <w:t> ;</w:t>
      </w:r>
    </w:p>
    <w:p w:rsidRPr="00FE3F9B" w:rsidR="00DE6DED" w:rsidP="00FE3F9B" w:rsidRDefault="004F7A1F">
      <w:pPr>
        <w:pStyle w:val="ECHRPara"/>
        <w:rPr>
          <w:lang w:val="fr-FR"/>
        </w:rPr>
      </w:pPr>
      <w:r w:rsidRPr="00FE3F9B">
        <w:rPr>
          <w:lang w:val="fr-FR"/>
        </w:rPr>
        <w:t>-  </w:t>
      </w:r>
      <w:r w:rsidRPr="00FE3F9B" w:rsidR="0074108E">
        <w:rPr>
          <w:lang w:val="fr-FR"/>
        </w:rPr>
        <w:t xml:space="preserve">les </w:t>
      </w:r>
      <w:r w:rsidRPr="00FE3F9B" w:rsidR="00EF6FED">
        <w:rPr>
          <w:lang w:val="fr-FR"/>
        </w:rPr>
        <w:t>explications</w:t>
      </w:r>
      <w:r w:rsidRPr="00FE3F9B" w:rsidR="0074108E">
        <w:rPr>
          <w:lang w:val="fr-FR"/>
        </w:rPr>
        <w:t xml:space="preserve"> supplémentaires de la requérante</w:t>
      </w:r>
      <w:r w:rsidRPr="00FE3F9B" w:rsidR="00C933DB">
        <w:rPr>
          <w:lang w:val="fr-FR"/>
        </w:rPr>
        <w:t xml:space="preserve"> </w:t>
      </w:r>
      <w:r w:rsidRPr="00FE3F9B" w:rsidR="006B1509">
        <w:rPr>
          <w:lang w:val="fr-FR"/>
        </w:rPr>
        <w:t xml:space="preserve">recueillies </w:t>
      </w:r>
      <w:r w:rsidRPr="00FE3F9B" w:rsidR="00CF230C">
        <w:rPr>
          <w:lang w:val="fr-FR"/>
        </w:rPr>
        <w:t>le</w:t>
      </w:r>
      <w:r w:rsidRPr="00FE3F9B" w:rsidR="00C933DB">
        <w:rPr>
          <w:lang w:val="fr-FR"/>
        </w:rPr>
        <w:t xml:space="preserve"> 8</w:t>
      </w:r>
      <w:r w:rsidRPr="00FE3F9B" w:rsidR="00CF230C">
        <w:rPr>
          <w:lang w:val="fr-FR"/>
        </w:rPr>
        <w:t> </w:t>
      </w:r>
      <w:r w:rsidRPr="00FE3F9B" w:rsidR="00C933DB">
        <w:rPr>
          <w:lang w:val="fr-FR"/>
        </w:rPr>
        <w:t>septembre 2005</w:t>
      </w:r>
      <w:r w:rsidRPr="00FE3F9B" w:rsidR="00CF230C">
        <w:rPr>
          <w:lang w:val="fr-FR"/>
        </w:rPr>
        <w:t>,</w:t>
      </w:r>
      <w:r w:rsidRPr="00FE3F9B" w:rsidR="00DE6DED">
        <w:rPr>
          <w:lang w:val="fr-FR"/>
        </w:rPr>
        <w:t xml:space="preserve"> qui avait maintenu ses déclarations</w:t>
      </w:r>
      <w:r w:rsidRPr="00FE3F9B">
        <w:rPr>
          <w:lang w:val="fr-FR"/>
        </w:rPr>
        <w:t xml:space="preserve"> tout en précisant qu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elle n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avait pas informé sa mère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incident du 6 novembre 2001</w:t>
      </w:r>
      <w:r w:rsidRPr="00FE3F9B" w:rsidR="00DE6DED">
        <w:rPr>
          <w:lang w:val="fr-FR"/>
        </w:rPr>
        <w:t> ;</w:t>
      </w:r>
    </w:p>
    <w:p w:rsidRPr="00FE3F9B" w:rsidR="00953EE7" w:rsidP="00FE3F9B" w:rsidRDefault="004F7A1F">
      <w:pPr>
        <w:pStyle w:val="ECHRPara"/>
        <w:rPr>
          <w:lang w:val="fr-FR"/>
        </w:rPr>
      </w:pPr>
      <w:r w:rsidRPr="00FE3F9B">
        <w:rPr>
          <w:lang w:val="fr-FR"/>
        </w:rPr>
        <w:t>-  </w:t>
      </w:r>
      <w:r w:rsidRPr="00FE3F9B" w:rsidR="00DE6DED">
        <w:rPr>
          <w:lang w:val="fr-FR"/>
        </w:rPr>
        <w:t xml:space="preserve">les </w:t>
      </w:r>
      <w:r w:rsidRPr="00FE3F9B" w:rsidR="00EF6FED">
        <w:rPr>
          <w:lang w:val="fr-FR"/>
        </w:rPr>
        <w:t>explications</w:t>
      </w:r>
      <w:r w:rsidRPr="00FE3F9B" w:rsidR="00DE6DED">
        <w:rPr>
          <w:lang w:val="fr-FR"/>
        </w:rPr>
        <w:t xml:space="preserve"> </w:t>
      </w:r>
      <w:r w:rsidRPr="00FE3F9B" w:rsidR="0074108E">
        <w:rPr>
          <w:lang w:val="fr-FR"/>
        </w:rPr>
        <w:t>de Ry</w:t>
      </w:r>
      <w:r w:rsidRPr="00FE3F9B" w:rsidR="0090119F">
        <w:rPr>
          <w:lang w:val="fr-FR"/>
        </w:rPr>
        <w:t>., un policier</w:t>
      </w:r>
      <w:r w:rsidRPr="00FE3F9B" w:rsidR="00C933DB">
        <w:rPr>
          <w:lang w:val="fr-FR"/>
        </w:rPr>
        <w:t xml:space="preserve">, </w:t>
      </w:r>
      <w:r w:rsidRPr="00FE3F9B" w:rsidR="00CF230C">
        <w:rPr>
          <w:lang w:val="fr-FR"/>
        </w:rPr>
        <w:t xml:space="preserve">en date </w:t>
      </w:r>
      <w:r w:rsidRPr="00FE3F9B" w:rsidR="00C933DB">
        <w:rPr>
          <w:lang w:val="fr-FR"/>
        </w:rPr>
        <w:t xml:space="preserve">du 8 septembre 2005, </w:t>
      </w:r>
      <w:r w:rsidRPr="00FE3F9B" w:rsidR="00DE6DED">
        <w:rPr>
          <w:lang w:val="fr-FR"/>
        </w:rPr>
        <w:t xml:space="preserve">qui </w:t>
      </w:r>
      <w:r w:rsidRPr="00FE3F9B" w:rsidR="0090119F">
        <w:rPr>
          <w:lang w:val="fr-FR"/>
        </w:rPr>
        <w:t xml:space="preserve">avait </w:t>
      </w:r>
      <w:r w:rsidRPr="00FE3F9B" w:rsidR="00CF230C">
        <w:rPr>
          <w:lang w:val="fr-FR"/>
        </w:rPr>
        <w:t xml:space="preserve">indiqué </w:t>
      </w:r>
      <w:r w:rsidRPr="00FE3F9B" w:rsidR="006B1509">
        <w:rPr>
          <w:lang w:val="fr-FR"/>
        </w:rPr>
        <w:t>avoir</w:t>
      </w:r>
      <w:r w:rsidRPr="00FE3F9B" w:rsidR="00DE6DED">
        <w:rPr>
          <w:lang w:val="fr-FR"/>
        </w:rPr>
        <w:t xml:space="preserve"> </w:t>
      </w:r>
      <w:r w:rsidRPr="00FE3F9B" w:rsidR="0090119F">
        <w:rPr>
          <w:lang w:val="fr-FR"/>
        </w:rPr>
        <w:t>interrogé Sh.</w:t>
      </w:r>
      <w:r w:rsidRPr="00FE3F9B">
        <w:rPr>
          <w:lang w:val="fr-FR"/>
        </w:rPr>
        <w:t>, la mère de la requérante</w:t>
      </w:r>
      <w:r w:rsidRPr="00FE3F9B" w:rsidR="006B1509">
        <w:rPr>
          <w:lang w:val="fr-FR"/>
        </w:rPr>
        <w:t>, en 2001</w:t>
      </w:r>
      <w:r w:rsidRPr="00FE3F9B" w:rsidR="0074108E">
        <w:rPr>
          <w:lang w:val="fr-FR"/>
        </w:rPr>
        <w:t>.</w:t>
      </w:r>
    </w:p>
    <w:bookmarkStart w:name="refpen11nov09" w:id="14"/>
    <w:p w:rsidRPr="00FE3F9B" w:rsidR="00953EE7" w:rsidP="00FE3F9B" w:rsidRDefault="0075715C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24</w:t>
      </w:r>
      <w:r w:rsidRPr="00FE3F9B">
        <w:rPr>
          <w:lang w:val="fr-FR"/>
        </w:rPr>
        <w:fldChar w:fldCharType="end"/>
      </w:r>
      <w:bookmarkEnd w:id="14"/>
      <w:r w:rsidRPr="00FE3F9B">
        <w:rPr>
          <w:lang w:val="fr-FR"/>
        </w:rPr>
        <w:t>.  </w:t>
      </w:r>
      <w:r w:rsidRPr="00FE3F9B" w:rsidR="000D6324">
        <w:rPr>
          <w:lang w:val="fr-FR"/>
        </w:rPr>
        <w:t>Le</w:t>
      </w:r>
      <w:r w:rsidRPr="00FE3F9B" w:rsidR="002C4D02">
        <w:rPr>
          <w:lang w:val="fr-FR"/>
        </w:rPr>
        <w:t xml:space="preserve"> 11 novembre 2009, </w:t>
      </w:r>
      <w:r w:rsidRPr="00FE3F9B" w:rsidR="000D6324">
        <w:rPr>
          <w:lang w:val="fr-FR"/>
        </w:rPr>
        <w:t>les autorités chargées de l</w:t>
      </w:r>
      <w:r w:rsidRPr="00FE3F9B" w:rsidR="00FE3F9B">
        <w:rPr>
          <w:lang w:val="fr-FR"/>
        </w:rPr>
        <w:t>’</w:t>
      </w:r>
      <w:r w:rsidRPr="00FE3F9B" w:rsidR="000D6324">
        <w:rPr>
          <w:lang w:val="fr-FR"/>
        </w:rPr>
        <w:t>instruction rendirent une nouvelle décision de refus d</w:t>
      </w:r>
      <w:r w:rsidRPr="00FE3F9B" w:rsidR="00FE3F9B">
        <w:rPr>
          <w:lang w:val="fr-FR"/>
        </w:rPr>
        <w:t>’</w:t>
      </w:r>
      <w:r w:rsidRPr="00FE3F9B" w:rsidR="000D6324">
        <w:rPr>
          <w:lang w:val="fr-FR"/>
        </w:rPr>
        <w:t>ouverture d</w:t>
      </w:r>
      <w:r w:rsidRPr="00FE3F9B" w:rsidR="00FE3F9B">
        <w:rPr>
          <w:lang w:val="fr-FR"/>
        </w:rPr>
        <w:t>’</w:t>
      </w:r>
      <w:r w:rsidRPr="00FE3F9B" w:rsidR="000D6324">
        <w:rPr>
          <w:lang w:val="fr-FR"/>
        </w:rPr>
        <w:t xml:space="preserve">une enquête pénale. Dans cette décision, </w:t>
      </w:r>
      <w:r w:rsidRPr="00FE3F9B" w:rsidR="00796CFD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 w:rsidR="00582DB0">
        <w:rPr>
          <w:lang w:val="fr-FR"/>
        </w:rPr>
        <w:t>enquêteur releva que les déclarations des policier</w:t>
      </w:r>
      <w:r w:rsidRPr="00FE3F9B" w:rsidR="00D02C41">
        <w:rPr>
          <w:lang w:val="fr-FR"/>
        </w:rPr>
        <w:t>s</w:t>
      </w:r>
      <w:r w:rsidRPr="00FE3F9B" w:rsidR="00582DB0">
        <w:rPr>
          <w:lang w:val="fr-FR"/>
        </w:rPr>
        <w:t xml:space="preserve"> P. et T. </w:t>
      </w:r>
      <w:r w:rsidRPr="00FE3F9B" w:rsidR="00D02C41">
        <w:rPr>
          <w:lang w:val="fr-FR"/>
        </w:rPr>
        <w:t xml:space="preserve">coïncidaient </w:t>
      </w:r>
      <w:r w:rsidRPr="00FE3F9B" w:rsidR="00582DB0">
        <w:rPr>
          <w:lang w:val="fr-FR"/>
        </w:rPr>
        <w:t>avec celle</w:t>
      </w:r>
      <w:r w:rsidRPr="00FE3F9B" w:rsidR="00D02C41">
        <w:rPr>
          <w:lang w:val="fr-FR"/>
        </w:rPr>
        <w:t>s</w:t>
      </w:r>
      <w:r w:rsidRPr="00FE3F9B" w:rsidR="00582DB0">
        <w:rPr>
          <w:lang w:val="fr-FR"/>
        </w:rPr>
        <w:t xml:space="preserve"> du témoin B. alors</w:t>
      </w:r>
      <w:r w:rsidRPr="00FE3F9B" w:rsidR="007C4CB0">
        <w:rPr>
          <w:lang w:val="fr-FR"/>
        </w:rPr>
        <w:t xml:space="preserve"> que</w:t>
      </w:r>
      <w:r w:rsidRPr="00FE3F9B" w:rsidR="00582DB0">
        <w:rPr>
          <w:lang w:val="fr-FR"/>
        </w:rPr>
        <w:t xml:space="preserve"> celles de la requérante, de F.</w:t>
      </w:r>
      <w:r w:rsidRPr="00FE3F9B">
        <w:rPr>
          <w:lang w:val="fr-FR"/>
        </w:rPr>
        <w:t xml:space="preserve">, de R. et de L. étaient contradictoires. </w:t>
      </w:r>
      <w:r w:rsidRPr="00FE3F9B" w:rsidR="002D2D08">
        <w:rPr>
          <w:lang w:val="fr-FR"/>
        </w:rPr>
        <w:t>Il nota aussi que</w:t>
      </w:r>
      <w:r w:rsidRPr="00FE3F9B" w:rsidR="00C933DB">
        <w:rPr>
          <w:lang w:val="fr-FR"/>
        </w:rPr>
        <w:t xml:space="preserve"> l</w:t>
      </w:r>
      <w:r w:rsidRPr="00FE3F9B" w:rsidR="00FE3F9B">
        <w:rPr>
          <w:lang w:val="fr-FR"/>
        </w:rPr>
        <w:t>’</w:t>
      </w:r>
      <w:r w:rsidRPr="00FE3F9B" w:rsidR="00C933DB">
        <w:rPr>
          <w:lang w:val="fr-FR"/>
        </w:rPr>
        <w:t>attestation du 6 </w:t>
      </w:r>
      <w:r w:rsidRPr="00FE3F9B" w:rsidR="00E04DA6">
        <w:rPr>
          <w:lang w:val="fr-FR"/>
        </w:rPr>
        <w:t xml:space="preserve">novembre 2001 ne mentionnait pas </w:t>
      </w:r>
      <w:r w:rsidRPr="00FE3F9B" w:rsidR="004F7A1F">
        <w:rPr>
          <w:lang w:val="fr-FR"/>
        </w:rPr>
        <w:t>les</w:t>
      </w:r>
      <w:r w:rsidRPr="00FE3F9B" w:rsidR="00E04DA6">
        <w:rPr>
          <w:lang w:val="fr-FR"/>
        </w:rPr>
        <w:t xml:space="preserve"> lésions sur le thorax </w:t>
      </w:r>
      <w:r w:rsidRPr="00FE3F9B" w:rsidR="00945BFB">
        <w:rPr>
          <w:lang w:val="fr-FR"/>
        </w:rPr>
        <w:t>de l</w:t>
      </w:r>
      <w:r w:rsidRPr="00FE3F9B" w:rsidR="002D2D08">
        <w:rPr>
          <w:lang w:val="fr-FR"/>
        </w:rPr>
        <w:t>a requérante</w:t>
      </w:r>
      <w:r w:rsidRPr="00FE3F9B" w:rsidR="00AB7286">
        <w:rPr>
          <w:lang w:val="fr-FR"/>
        </w:rPr>
        <w:t>,</w:t>
      </w:r>
      <w:r w:rsidRPr="00FE3F9B" w:rsidR="002D2D08">
        <w:rPr>
          <w:lang w:val="fr-FR"/>
        </w:rPr>
        <w:t xml:space="preserve"> et, par conséquent</w:t>
      </w:r>
      <w:r w:rsidRPr="00FE3F9B" w:rsidR="00AB7286">
        <w:rPr>
          <w:lang w:val="fr-FR"/>
        </w:rPr>
        <w:t>,</w:t>
      </w:r>
      <w:r w:rsidRPr="00FE3F9B" w:rsidR="002D2D08">
        <w:rPr>
          <w:lang w:val="fr-FR"/>
        </w:rPr>
        <w:t xml:space="preserve"> </w:t>
      </w:r>
      <w:r w:rsidRPr="00FE3F9B" w:rsidR="00AB7286">
        <w:rPr>
          <w:lang w:val="fr-FR"/>
        </w:rPr>
        <w:t xml:space="preserve">il considéra que </w:t>
      </w:r>
      <w:r w:rsidRPr="00FE3F9B" w:rsidR="002D2D08">
        <w:rPr>
          <w:lang w:val="fr-FR"/>
        </w:rPr>
        <w:t xml:space="preserve">les données sur les </w:t>
      </w:r>
      <w:r w:rsidRPr="00FE3F9B" w:rsidR="00AB7286">
        <w:rPr>
          <w:lang w:val="fr-FR"/>
        </w:rPr>
        <w:t>blessures</w:t>
      </w:r>
      <w:r w:rsidRPr="00FE3F9B" w:rsidR="002D2D08">
        <w:rPr>
          <w:lang w:val="fr-FR"/>
        </w:rPr>
        <w:t xml:space="preserve"> présentées par celle-ci étaient également contradictoires</w:t>
      </w:r>
      <w:r w:rsidRPr="00FE3F9B" w:rsidR="00945BFB">
        <w:rPr>
          <w:lang w:val="fr-FR"/>
        </w:rPr>
        <w:t xml:space="preserve">. </w:t>
      </w:r>
      <w:r w:rsidRPr="00FE3F9B" w:rsidR="002D2D08">
        <w:rPr>
          <w:lang w:val="fr-FR"/>
        </w:rPr>
        <w:t>Il</w:t>
      </w:r>
      <w:r w:rsidRPr="00FE3F9B" w:rsidR="00945BFB">
        <w:rPr>
          <w:lang w:val="fr-FR"/>
        </w:rPr>
        <w:t xml:space="preserve"> </w:t>
      </w:r>
      <w:r w:rsidRPr="00FE3F9B" w:rsidR="001F7493">
        <w:rPr>
          <w:lang w:val="fr-FR"/>
        </w:rPr>
        <w:t>estima</w:t>
      </w:r>
      <w:r w:rsidRPr="00FE3F9B" w:rsidR="00945BFB">
        <w:rPr>
          <w:lang w:val="fr-FR"/>
        </w:rPr>
        <w:t xml:space="preserve"> que </w:t>
      </w:r>
      <w:r w:rsidRPr="00FE3F9B" w:rsidR="002D2D08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 w:rsidR="002D2D08">
        <w:rPr>
          <w:lang w:val="fr-FR"/>
        </w:rPr>
        <w:t>intéressée</w:t>
      </w:r>
      <w:r w:rsidRPr="00FE3F9B" w:rsidR="00D02C41">
        <w:rPr>
          <w:lang w:val="fr-FR"/>
        </w:rPr>
        <w:t xml:space="preserve"> </w:t>
      </w:r>
      <w:r w:rsidRPr="00FE3F9B" w:rsidR="002D2D08">
        <w:rPr>
          <w:lang w:val="fr-FR"/>
        </w:rPr>
        <w:t>ava</w:t>
      </w:r>
      <w:r w:rsidRPr="00FE3F9B" w:rsidR="00945BFB">
        <w:rPr>
          <w:lang w:val="fr-FR"/>
        </w:rPr>
        <w:t xml:space="preserve">it pu subir </w:t>
      </w:r>
      <w:r w:rsidRPr="00FE3F9B" w:rsidR="00C933DB">
        <w:rPr>
          <w:lang w:val="fr-FR"/>
        </w:rPr>
        <w:t>c</w:t>
      </w:r>
      <w:r w:rsidRPr="00FE3F9B" w:rsidR="00945BFB">
        <w:rPr>
          <w:lang w:val="fr-FR"/>
        </w:rPr>
        <w:t>es lésions dans d</w:t>
      </w:r>
      <w:r w:rsidRPr="00FE3F9B" w:rsidR="00FE3F9B">
        <w:rPr>
          <w:lang w:val="fr-FR"/>
        </w:rPr>
        <w:t>’</w:t>
      </w:r>
      <w:r w:rsidRPr="00FE3F9B" w:rsidR="00945BFB">
        <w:rPr>
          <w:lang w:val="fr-FR"/>
        </w:rPr>
        <w:t>autres circonstances</w:t>
      </w:r>
      <w:r w:rsidRPr="00FE3F9B" w:rsidR="00270DAE">
        <w:rPr>
          <w:lang w:val="fr-FR"/>
        </w:rPr>
        <w:t>, qui auraient pu survenir</w:t>
      </w:r>
      <w:r w:rsidRPr="00FE3F9B" w:rsidR="00C933DB">
        <w:rPr>
          <w:lang w:val="fr-FR"/>
        </w:rPr>
        <w:t xml:space="preserve"> </w:t>
      </w:r>
      <w:r w:rsidRPr="00FE3F9B" w:rsidR="00945BFB">
        <w:rPr>
          <w:lang w:val="fr-FR"/>
        </w:rPr>
        <w:t xml:space="preserve">après les évènements du 6 novembre 2001. </w:t>
      </w:r>
      <w:r w:rsidRPr="00FE3F9B">
        <w:rPr>
          <w:lang w:val="fr-FR"/>
        </w:rPr>
        <w:t xml:space="preserve">Il </w:t>
      </w:r>
      <w:r w:rsidRPr="00FE3F9B" w:rsidR="00945BFB">
        <w:rPr>
          <w:lang w:val="fr-FR"/>
        </w:rPr>
        <w:t>conclut notamment ce qui suit :</w:t>
      </w:r>
    </w:p>
    <w:p w:rsidRPr="00FE3F9B" w:rsidR="00953EE7" w:rsidP="00FE3F9B" w:rsidRDefault="00945BFB">
      <w:pPr>
        <w:pStyle w:val="ECHRParaQuote"/>
        <w:rPr>
          <w:lang w:val="fr-FR"/>
        </w:rPr>
      </w:pPr>
      <w:r w:rsidRPr="00FE3F9B">
        <w:rPr>
          <w:lang w:val="fr-FR"/>
        </w:rPr>
        <w:t>« Il est établi objectivement qu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en mettant fin aux agissements illicites de </w:t>
      </w:r>
      <w:r w:rsidRPr="00FE3F9B" w:rsidR="00D02C41">
        <w:rPr>
          <w:lang w:val="fr-FR"/>
        </w:rPr>
        <w:t>[l</w:t>
      </w:r>
      <w:r w:rsidRPr="00FE3F9B" w:rsidR="00F1192E">
        <w:rPr>
          <w:lang w:val="fr-FR"/>
        </w:rPr>
        <w:t>a plaignante</w:t>
      </w:r>
      <w:r w:rsidRPr="00FE3F9B" w:rsidR="00D02C41">
        <w:rPr>
          <w:lang w:val="fr-FR"/>
        </w:rPr>
        <w:t>]</w:t>
      </w:r>
      <w:r w:rsidRPr="00FE3F9B">
        <w:rPr>
          <w:lang w:val="fr-FR"/>
        </w:rPr>
        <w:t xml:space="preserve"> et de F. les policier</w:t>
      </w:r>
      <w:r w:rsidRPr="00FE3F9B" w:rsidR="00D02C41">
        <w:rPr>
          <w:lang w:val="fr-FR"/>
        </w:rPr>
        <w:t>s</w:t>
      </w:r>
      <w:r w:rsidRPr="00FE3F9B">
        <w:rPr>
          <w:lang w:val="fr-FR"/>
        </w:rPr>
        <w:t xml:space="preserve"> [</w:t>
      </w:r>
      <w:r w:rsidRPr="00FE3F9B" w:rsidR="0075715C">
        <w:rPr>
          <w:lang w:val="fr-FR"/>
        </w:rPr>
        <w:t>P. et T.</w:t>
      </w:r>
      <w:r w:rsidRPr="00FE3F9B">
        <w:rPr>
          <w:lang w:val="fr-FR"/>
        </w:rPr>
        <w:t>]</w:t>
      </w:r>
      <w:r w:rsidRPr="00FE3F9B" w:rsidR="0075715C">
        <w:rPr>
          <w:lang w:val="fr-FR"/>
        </w:rPr>
        <w:t xml:space="preserve"> </w:t>
      </w:r>
      <w:r w:rsidRPr="00FE3F9B" w:rsidR="00D02C41">
        <w:rPr>
          <w:lang w:val="fr-FR"/>
        </w:rPr>
        <w:t xml:space="preserve">ont </w:t>
      </w:r>
      <w:r w:rsidRPr="00FE3F9B">
        <w:rPr>
          <w:lang w:val="fr-FR"/>
        </w:rPr>
        <w:t xml:space="preserve">agi </w:t>
      </w:r>
      <w:r w:rsidRPr="00FE3F9B" w:rsidR="00B74FED">
        <w:rPr>
          <w:lang w:val="fr-FR"/>
        </w:rPr>
        <w:t xml:space="preserve">de manière régulière </w:t>
      </w:r>
      <w:r w:rsidRPr="00FE3F9B">
        <w:rPr>
          <w:lang w:val="fr-FR"/>
        </w:rPr>
        <w:t xml:space="preserve">conformément à la loi </w:t>
      </w:r>
      <w:r w:rsidRPr="00FE3F9B" w:rsidR="007C4CB0">
        <w:rPr>
          <w:lang w:val="fr-FR"/>
        </w:rPr>
        <w:t>[sur la police] et que leurs</w:t>
      </w:r>
      <w:r w:rsidRPr="00FE3F9B" w:rsidR="00B74FED">
        <w:rPr>
          <w:lang w:val="fr-FR"/>
        </w:rPr>
        <w:t xml:space="preserve"> actes ne présentent pas d</w:t>
      </w:r>
      <w:r w:rsidRPr="00FE3F9B" w:rsidR="00FE3F9B">
        <w:rPr>
          <w:lang w:val="fr-FR"/>
        </w:rPr>
        <w:t>’</w:t>
      </w:r>
      <w:r w:rsidRPr="00FE3F9B" w:rsidR="00B74FED">
        <w:rPr>
          <w:lang w:val="fr-FR"/>
        </w:rPr>
        <w:t>éléments constitutifs de l</w:t>
      </w:r>
      <w:r w:rsidRPr="00FE3F9B" w:rsidR="00FE3F9B">
        <w:rPr>
          <w:lang w:val="fr-FR"/>
        </w:rPr>
        <w:t>’</w:t>
      </w:r>
      <w:r w:rsidRPr="00FE3F9B" w:rsidR="00B74FED">
        <w:rPr>
          <w:lang w:val="fr-FR"/>
        </w:rPr>
        <w:t xml:space="preserve">infraction </w:t>
      </w:r>
      <w:r w:rsidRPr="00FE3F9B" w:rsidR="00D36752">
        <w:rPr>
          <w:lang w:val="fr-FR"/>
        </w:rPr>
        <w:t xml:space="preserve">réprimée </w:t>
      </w:r>
      <w:r w:rsidRPr="00FE3F9B" w:rsidR="00C933DB">
        <w:rPr>
          <w:lang w:val="fr-FR"/>
        </w:rPr>
        <w:t>par l</w:t>
      </w:r>
      <w:r w:rsidRPr="00FE3F9B" w:rsidR="00FE3F9B">
        <w:rPr>
          <w:lang w:val="fr-FR"/>
        </w:rPr>
        <w:t>’</w:t>
      </w:r>
      <w:r w:rsidRPr="00FE3F9B" w:rsidR="00C933DB">
        <w:rPr>
          <w:lang w:val="fr-FR"/>
        </w:rPr>
        <w:t>article 286 § 3 du code pénal</w:t>
      </w:r>
      <w:r w:rsidRPr="00FE3F9B" w:rsidR="00B74FED">
        <w:rPr>
          <w:lang w:val="fr-FR"/>
        </w:rPr>
        <w:t> ».</w:t>
      </w:r>
    </w:p>
    <w:bookmarkStart w:name="refpen11nov09ult" w:id="15"/>
    <w:p w:rsidRPr="00FE3F9B" w:rsidR="00953EE7" w:rsidP="00FE3F9B" w:rsidRDefault="0075715C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25</w:t>
      </w:r>
      <w:r w:rsidRPr="00FE3F9B">
        <w:rPr>
          <w:lang w:val="fr-FR"/>
        </w:rPr>
        <w:fldChar w:fldCharType="end"/>
      </w:r>
      <w:bookmarkEnd w:id="15"/>
      <w:r w:rsidRPr="00FE3F9B">
        <w:rPr>
          <w:lang w:val="fr-FR"/>
        </w:rPr>
        <w:t>.  </w:t>
      </w:r>
      <w:r w:rsidRPr="00FE3F9B" w:rsidR="00C933DB">
        <w:rPr>
          <w:lang w:val="fr-FR"/>
        </w:rPr>
        <w:t>Par la même</w:t>
      </w:r>
      <w:r w:rsidRPr="00FE3F9B">
        <w:rPr>
          <w:lang w:val="fr-FR"/>
        </w:rPr>
        <w:t xml:space="preserve"> décision,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enquêteur décida </w:t>
      </w:r>
      <w:r w:rsidRPr="00FE3F9B" w:rsidR="00C933DB">
        <w:rPr>
          <w:lang w:val="fr-FR"/>
        </w:rPr>
        <w:t xml:space="preserve">en outre </w:t>
      </w:r>
      <w:r w:rsidRPr="00FE3F9B">
        <w:rPr>
          <w:lang w:val="fr-FR"/>
        </w:rPr>
        <w:t>qu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il n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y avait pas lieu de poursuiv</w:t>
      </w:r>
      <w:r w:rsidRPr="00FE3F9B" w:rsidR="00D02C41">
        <w:rPr>
          <w:lang w:val="fr-FR"/>
        </w:rPr>
        <w:t>r</w:t>
      </w:r>
      <w:r w:rsidRPr="00FE3F9B">
        <w:rPr>
          <w:lang w:val="fr-FR"/>
        </w:rPr>
        <w:t>e pénalement :</w:t>
      </w:r>
    </w:p>
    <w:p w:rsidRPr="00FE3F9B" w:rsidR="00953EE7" w:rsidP="00FE3F9B" w:rsidRDefault="0075715C">
      <w:pPr>
        <w:pStyle w:val="ECHRPara"/>
        <w:rPr>
          <w:lang w:val="fr-FR"/>
        </w:rPr>
      </w:pPr>
      <w:r w:rsidRPr="00FE3F9B">
        <w:rPr>
          <w:lang w:val="fr-FR"/>
        </w:rPr>
        <w:t>- la requérante, pour outrage à un</w:t>
      </w:r>
      <w:r w:rsidRPr="00FE3F9B" w:rsidR="00372C3F">
        <w:rPr>
          <w:lang w:val="fr-FR"/>
        </w:rPr>
        <w:t>e personne</w:t>
      </w:r>
      <w:r w:rsidRPr="00FE3F9B">
        <w:rPr>
          <w:lang w:val="fr-FR"/>
        </w:rPr>
        <w:t xml:space="preserve"> dépositaire de </w:t>
      </w:r>
      <w:r w:rsidRPr="00FE3F9B" w:rsidR="00D02C41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 w:rsidR="00D02C41">
        <w:rPr>
          <w:lang w:val="fr-FR"/>
        </w:rPr>
        <w:t>autorité</w:t>
      </w:r>
      <w:r w:rsidRPr="00FE3F9B">
        <w:rPr>
          <w:lang w:val="fr-FR"/>
        </w:rPr>
        <w:t xml:space="preserve"> publi</w:t>
      </w:r>
      <w:r w:rsidRPr="00FE3F9B" w:rsidR="00D02C41">
        <w:rPr>
          <w:lang w:val="fr-FR"/>
        </w:rPr>
        <w:t>que</w:t>
      </w:r>
      <w:r w:rsidRPr="00FE3F9B">
        <w:rPr>
          <w:lang w:val="fr-FR"/>
        </w:rPr>
        <w:t xml:space="preserve">, infraction </w:t>
      </w:r>
      <w:r w:rsidRPr="00FE3F9B" w:rsidR="00E43479">
        <w:rPr>
          <w:lang w:val="fr-FR"/>
        </w:rPr>
        <w:t>réprimée</w:t>
      </w:r>
      <w:r w:rsidRPr="00FE3F9B" w:rsidR="00C933DB">
        <w:rPr>
          <w:lang w:val="fr-FR"/>
        </w:rPr>
        <w:t xml:space="preserve"> par </w:t>
      </w:r>
      <w:r w:rsidRPr="00FE3F9B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article 319 § 1 du CP, faute de preuves démontrant qu</w:t>
      </w:r>
      <w:r w:rsidRPr="00FE3F9B" w:rsidR="00E43479">
        <w:rPr>
          <w:lang w:val="fr-FR"/>
        </w:rPr>
        <w:t>e l</w:t>
      </w:r>
      <w:r w:rsidRPr="00FE3F9B" w:rsidR="00FE3F9B">
        <w:rPr>
          <w:lang w:val="fr-FR"/>
        </w:rPr>
        <w:t>’</w:t>
      </w:r>
      <w:r w:rsidRPr="00FE3F9B" w:rsidR="00E43479">
        <w:rPr>
          <w:lang w:val="fr-FR"/>
        </w:rPr>
        <w:t>intéressée</w:t>
      </w:r>
      <w:r w:rsidRPr="00FE3F9B">
        <w:rPr>
          <w:lang w:val="fr-FR"/>
        </w:rPr>
        <w:t xml:space="preserve"> avait insulté les policiers P. et T. ;</w:t>
      </w:r>
    </w:p>
    <w:p w:rsidRPr="00FE3F9B" w:rsidR="00E04DA6" w:rsidP="00FE3F9B" w:rsidRDefault="0075715C">
      <w:pPr>
        <w:pStyle w:val="ECHRPara"/>
        <w:rPr>
          <w:lang w:val="fr-FR"/>
        </w:rPr>
      </w:pPr>
      <w:r w:rsidRPr="00FE3F9B">
        <w:rPr>
          <w:lang w:val="fr-FR"/>
        </w:rPr>
        <w:t xml:space="preserve">- F., pour violence </w:t>
      </w:r>
      <w:r w:rsidRPr="00FE3F9B" w:rsidR="00E04DA6">
        <w:rPr>
          <w:lang w:val="fr-FR"/>
        </w:rPr>
        <w:t xml:space="preserve">sur personne dépositaire de </w:t>
      </w:r>
      <w:r w:rsidRPr="00FE3F9B" w:rsidR="00D02C41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 w:rsidR="00D02C41">
        <w:rPr>
          <w:lang w:val="fr-FR"/>
        </w:rPr>
        <w:t>autorité</w:t>
      </w:r>
      <w:r w:rsidRPr="00FE3F9B" w:rsidR="00E04DA6">
        <w:rPr>
          <w:lang w:val="fr-FR"/>
        </w:rPr>
        <w:t xml:space="preserve"> publi</w:t>
      </w:r>
      <w:r w:rsidRPr="00FE3F9B" w:rsidR="00D02C41">
        <w:rPr>
          <w:lang w:val="fr-FR"/>
        </w:rPr>
        <w:t>que</w:t>
      </w:r>
      <w:r w:rsidRPr="00FE3F9B" w:rsidR="00E04DA6">
        <w:rPr>
          <w:lang w:val="fr-FR"/>
        </w:rPr>
        <w:t xml:space="preserve">, infraction </w:t>
      </w:r>
      <w:r w:rsidRPr="00FE3F9B" w:rsidR="00E43479">
        <w:rPr>
          <w:lang w:val="fr-FR"/>
        </w:rPr>
        <w:t>réprimée</w:t>
      </w:r>
      <w:r w:rsidRPr="00FE3F9B" w:rsidR="00E04DA6">
        <w:rPr>
          <w:lang w:val="fr-FR"/>
        </w:rPr>
        <w:t xml:space="preserve"> par l</w:t>
      </w:r>
      <w:r w:rsidRPr="00FE3F9B" w:rsidR="00FE3F9B">
        <w:rPr>
          <w:lang w:val="fr-FR"/>
        </w:rPr>
        <w:t>’</w:t>
      </w:r>
      <w:r w:rsidRPr="00FE3F9B" w:rsidR="00E04DA6">
        <w:rPr>
          <w:lang w:val="fr-FR"/>
        </w:rPr>
        <w:t xml:space="preserve">article 318 du CP, faute de preuves démontrant que </w:t>
      </w:r>
      <w:r w:rsidRPr="00FE3F9B" w:rsidR="008F757F">
        <w:rPr>
          <w:lang w:val="fr-FR"/>
        </w:rPr>
        <w:t xml:space="preserve">celui-ci </w:t>
      </w:r>
      <w:r w:rsidRPr="00FE3F9B" w:rsidR="00E04DA6">
        <w:rPr>
          <w:lang w:val="fr-FR"/>
        </w:rPr>
        <w:t>savait que P. et T. étaient des agents de police puisque</w:t>
      </w:r>
      <w:r w:rsidRPr="00FE3F9B" w:rsidR="00262406">
        <w:rPr>
          <w:lang w:val="fr-FR"/>
        </w:rPr>
        <w:t>, lors de l</w:t>
      </w:r>
      <w:r w:rsidRPr="00FE3F9B" w:rsidR="00FE3F9B">
        <w:rPr>
          <w:lang w:val="fr-FR"/>
        </w:rPr>
        <w:t>’</w:t>
      </w:r>
      <w:r w:rsidRPr="00FE3F9B" w:rsidR="00262406">
        <w:rPr>
          <w:lang w:val="fr-FR"/>
        </w:rPr>
        <w:t>incident du 6 </w:t>
      </w:r>
      <w:r w:rsidRPr="00FE3F9B" w:rsidR="00C933DB">
        <w:rPr>
          <w:lang w:val="fr-FR"/>
        </w:rPr>
        <w:t>novembre 2001,</w:t>
      </w:r>
      <w:r w:rsidRPr="00FE3F9B" w:rsidR="00E04DA6">
        <w:rPr>
          <w:lang w:val="fr-FR"/>
        </w:rPr>
        <w:t xml:space="preserve"> </w:t>
      </w:r>
      <w:r w:rsidRPr="00FE3F9B" w:rsidR="00A24F17">
        <w:rPr>
          <w:lang w:val="fr-FR"/>
        </w:rPr>
        <w:t>ce</w:t>
      </w:r>
      <w:r w:rsidRPr="00FE3F9B" w:rsidR="00C208E3">
        <w:rPr>
          <w:lang w:val="fr-FR"/>
        </w:rPr>
        <w:t>ux-ci</w:t>
      </w:r>
      <w:r w:rsidRPr="00FE3F9B" w:rsidR="00A24F17">
        <w:rPr>
          <w:lang w:val="fr-FR"/>
        </w:rPr>
        <w:t xml:space="preserve"> étaient habillés en civil et </w:t>
      </w:r>
      <w:r w:rsidRPr="00FE3F9B" w:rsidR="00C208E3">
        <w:rPr>
          <w:lang w:val="fr-FR"/>
        </w:rPr>
        <w:t xml:space="preserve">que </w:t>
      </w:r>
      <w:r w:rsidRPr="00FE3F9B" w:rsidR="00E04DA6">
        <w:rPr>
          <w:lang w:val="fr-FR"/>
        </w:rPr>
        <w:t>F. n</w:t>
      </w:r>
      <w:r w:rsidRPr="00FE3F9B" w:rsidR="00FE3F9B">
        <w:rPr>
          <w:lang w:val="fr-FR"/>
        </w:rPr>
        <w:t>’</w:t>
      </w:r>
      <w:r w:rsidRPr="00FE3F9B" w:rsidR="00E04DA6">
        <w:rPr>
          <w:lang w:val="fr-FR"/>
        </w:rPr>
        <w:t>avait pas vu leurs cartes professionnelles.</w:t>
      </w:r>
    </w:p>
    <w:p w:rsidRPr="00FE3F9B" w:rsidR="00953EE7" w:rsidP="00FE3F9B" w:rsidRDefault="00EC1FDD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26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 xml:space="preserve">.  Le </w:t>
      </w:r>
      <w:r w:rsidRPr="00FE3F9B" w:rsidR="00796CFD">
        <w:rPr>
          <w:lang w:val="fr-FR"/>
        </w:rPr>
        <w:t>9 février 2010, le tribunal de l</w:t>
      </w:r>
      <w:r w:rsidRPr="00FE3F9B" w:rsidR="00FE3F9B">
        <w:rPr>
          <w:lang w:val="fr-FR"/>
        </w:rPr>
        <w:t>’</w:t>
      </w:r>
      <w:r w:rsidRPr="00FE3F9B" w:rsidR="00796CFD">
        <w:rPr>
          <w:lang w:val="fr-FR"/>
        </w:rPr>
        <w:t>arrondissement Avtozavodski de Nijni Novgorod</w:t>
      </w:r>
      <w:r w:rsidRPr="00FE3F9B" w:rsidR="00804926">
        <w:rPr>
          <w:lang w:val="fr-FR"/>
        </w:rPr>
        <w:t xml:space="preserve"> rejeta le recours de la requérante contre la décision du 11 novembre 2009 ayant réitéré et fait siennes </w:t>
      </w:r>
      <w:r w:rsidRPr="00FE3F9B" w:rsidR="00076F4C">
        <w:rPr>
          <w:lang w:val="fr-FR"/>
        </w:rPr>
        <w:t xml:space="preserve">les précédentes </w:t>
      </w:r>
      <w:r w:rsidRPr="00FE3F9B" w:rsidR="00804926">
        <w:rPr>
          <w:lang w:val="fr-FR"/>
        </w:rPr>
        <w:t>conclusions de</w:t>
      </w:r>
      <w:r w:rsidRPr="00FE3F9B" w:rsidR="00B65F86">
        <w:rPr>
          <w:lang w:val="fr-FR"/>
        </w:rPr>
        <w:t>s autorités chargées de l</w:t>
      </w:r>
      <w:r w:rsidRPr="00FE3F9B" w:rsidR="00FE3F9B">
        <w:rPr>
          <w:lang w:val="fr-FR"/>
        </w:rPr>
        <w:t>’</w:t>
      </w:r>
      <w:r w:rsidRPr="00FE3F9B" w:rsidR="00B65F86">
        <w:rPr>
          <w:lang w:val="fr-FR"/>
        </w:rPr>
        <w:t>instruction</w:t>
      </w:r>
      <w:r w:rsidRPr="00FE3F9B" w:rsidR="00804926">
        <w:rPr>
          <w:lang w:val="fr-FR"/>
        </w:rPr>
        <w:t>.</w:t>
      </w:r>
    </w:p>
    <w:p w:rsidRPr="00FE3F9B" w:rsidR="00953EE7" w:rsidP="00FE3F9B" w:rsidRDefault="00804926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27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Le 30 avril 2010, la cour régionale de Nijni Novgorod rejeta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appel </w:t>
      </w:r>
      <w:r w:rsidRPr="00FE3F9B" w:rsidR="00C208E3">
        <w:rPr>
          <w:lang w:val="fr-FR"/>
        </w:rPr>
        <w:t>formé par</w:t>
      </w:r>
      <w:r w:rsidRPr="00FE3F9B">
        <w:rPr>
          <w:lang w:val="fr-FR"/>
        </w:rPr>
        <w:t xml:space="preserve"> la requérante contre la décision du 9 février 2010.</w:t>
      </w:r>
    </w:p>
    <w:p w:rsidRPr="00FE3F9B" w:rsidR="00E77CB3" w:rsidP="00FE3F9B" w:rsidRDefault="00E77CB3">
      <w:pPr>
        <w:pStyle w:val="ECHRHeading1"/>
        <w:rPr>
          <w:lang w:val="fr-FR"/>
        </w:rPr>
      </w:pPr>
      <w:r w:rsidRPr="00FE3F9B">
        <w:rPr>
          <w:lang w:val="fr-FR"/>
        </w:rPr>
        <w:t>II.  LE DROIT INTERNE PERTINENT</w:t>
      </w:r>
    </w:p>
    <w:p w:rsidRPr="00FE3F9B" w:rsidR="00953EE7" w:rsidP="00FE3F9B" w:rsidRDefault="00C933DB">
      <w:pPr>
        <w:pStyle w:val="ECHRPara"/>
        <w:rPr>
          <w:snapToGrid w:val="0"/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28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 xml:space="preserve">.  Les dispositions de </w:t>
      </w:r>
      <w:r w:rsidRPr="00FE3F9B" w:rsidR="00372C3F">
        <w:rPr>
          <w:lang w:val="fr-FR"/>
        </w:rPr>
        <w:t>la législation nationale</w:t>
      </w:r>
      <w:r w:rsidRPr="00FE3F9B">
        <w:rPr>
          <w:lang w:val="fr-FR"/>
        </w:rPr>
        <w:t xml:space="preserve"> relatives à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usage de </w:t>
      </w:r>
      <w:r w:rsidRPr="00FE3F9B" w:rsidR="00C208E3">
        <w:rPr>
          <w:lang w:val="fr-FR"/>
        </w:rPr>
        <w:t xml:space="preserve">la </w:t>
      </w:r>
      <w:r w:rsidRPr="00FE3F9B">
        <w:rPr>
          <w:lang w:val="fr-FR"/>
        </w:rPr>
        <w:t>force par la police sont décrites dans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arrêt</w:t>
      </w:r>
      <w:r w:rsidRPr="00FE3F9B" w:rsidR="00262406">
        <w:rPr>
          <w:lang w:val="fr-FR"/>
        </w:rPr>
        <w:t xml:space="preserve"> </w:t>
      </w:r>
      <w:r w:rsidRPr="00FE3F9B" w:rsidR="00262406">
        <w:rPr>
          <w:i/>
          <w:lang w:val="fr-FR"/>
        </w:rPr>
        <w:t>Ryabtsev c. Russie</w:t>
      </w:r>
      <w:r w:rsidRPr="00FE3F9B" w:rsidR="00262406">
        <w:rPr>
          <w:snapToGrid w:val="0"/>
          <w:lang w:val="fr-FR"/>
        </w:rPr>
        <w:t xml:space="preserve"> (n</w:t>
      </w:r>
      <w:r w:rsidRPr="00FE3F9B" w:rsidR="00262406">
        <w:rPr>
          <w:snapToGrid w:val="0"/>
          <w:vertAlign w:val="superscript"/>
          <w:lang w:val="fr-FR"/>
        </w:rPr>
        <w:t>o</w:t>
      </w:r>
      <w:r w:rsidRPr="00FE3F9B" w:rsidR="00262406">
        <w:rPr>
          <w:snapToGrid w:val="0"/>
          <w:lang w:val="fr-FR"/>
        </w:rPr>
        <w:t> </w:t>
      </w:r>
      <w:r w:rsidRPr="00FE3F9B" w:rsidR="00262406">
        <w:rPr>
          <w:lang w:val="fr-FR"/>
        </w:rPr>
        <w:t>13642/06,</w:t>
      </w:r>
      <w:r w:rsidRPr="00FE3F9B" w:rsidR="00262406">
        <w:rPr>
          <w:snapToGrid w:val="0"/>
          <w:lang w:val="fr-FR"/>
        </w:rPr>
        <w:t xml:space="preserve"> §</w:t>
      </w:r>
      <w:r w:rsidRPr="00FE3F9B" w:rsidR="00076F4C">
        <w:rPr>
          <w:snapToGrid w:val="0"/>
          <w:lang w:val="fr-FR"/>
        </w:rPr>
        <w:t>§</w:t>
      </w:r>
      <w:r w:rsidRPr="00FE3F9B" w:rsidR="00262406">
        <w:rPr>
          <w:snapToGrid w:val="0"/>
          <w:lang w:val="fr-FR"/>
        </w:rPr>
        <w:t> 42</w:t>
      </w:r>
      <w:r w:rsidRPr="00FE3F9B" w:rsidR="00262406">
        <w:rPr>
          <w:snapToGrid w:val="0"/>
          <w:lang w:val="fr-FR"/>
        </w:rPr>
        <w:noBreakHyphen/>
        <w:t>46, 14 novembre 2013)</w:t>
      </w:r>
      <w:r w:rsidRPr="00FE3F9B">
        <w:rPr>
          <w:snapToGrid w:val="0"/>
          <w:lang w:val="fr-FR"/>
        </w:rPr>
        <w:t>.</w:t>
      </w:r>
    </w:p>
    <w:p w:rsidRPr="00FE3F9B" w:rsidR="001F7493" w:rsidP="00FE3F9B" w:rsidRDefault="00584D9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29</w:t>
      </w:r>
      <w:r w:rsidRPr="00FE3F9B">
        <w:rPr>
          <w:lang w:val="fr-FR"/>
        </w:rPr>
        <w:fldChar w:fldCharType="end"/>
      </w:r>
      <w:r w:rsidRPr="00FE3F9B" w:rsidR="00E77CB3">
        <w:rPr>
          <w:lang w:val="fr-FR"/>
        </w:rPr>
        <w:t>.  </w:t>
      </w:r>
      <w:r w:rsidRPr="00FE3F9B" w:rsidR="001F7493">
        <w:rPr>
          <w:lang w:val="fr-FR"/>
        </w:rPr>
        <w:t>Les dispositions du CPP relatives à l</w:t>
      </w:r>
      <w:r w:rsidRPr="00FE3F9B" w:rsidR="00FE3F9B">
        <w:rPr>
          <w:lang w:val="fr-FR"/>
        </w:rPr>
        <w:t>’</w:t>
      </w:r>
      <w:r w:rsidRPr="00FE3F9B" w:rsidR="001F7493">
        <w:rPr>
          <w:lang w:val="fr-FR"/>
        </w:rPr>
        <w:t>enquête préliminaire et à l</w:t>
      </w:r>
      <w:r w:rsidRPr="00FE3F9B" w:rsidR="00FE3F9B">
        <w:rPr>
          <w:lang w:val="fr-FR"/>
        </w:rPr>
        <w:t>’</w:t>
      </w:r>
      <w:r w:rsidRPr="00FE3F9B" w:rsidR="001F7493">
        <w:rPr>
          <w:lang w:val="fr-FR"/>
        </w:rPr>
        <w:t>ouverture de l</w:t>
      </w:r>
      <w:r w:rsidRPr="00FE3F9B" w:rsidR="00FE3F9B">
        <w:rPr>
          <w:lang w:val="fr-FR"/>
        </w:rPr>
        <w:t>’</w:t>
      </w:r>
      <w:r w:rsidRPr="00FE3F9B" w:rsidR="001F7493">
        <w:rPr>
          <w:lang w:val="fr-FR"/>
        </w:rPr>
        <w:t>instruction pénale sont décrites dans l</w:t>
      </w:r>
      <w:r w:rsidRPr="00FE3F9B" w:rsidR="00FE3F9B">
        <w:rPr>
          <w:lang w:val="fr-FR"/>
        </w:rPr>
        <w:t>’</w:t>
      </w:r>
      <w:r w:rsidRPr="00FE3F9B" w:rsidR="001F7493">
        <w:rPr>
          <w:lang w:val="fr-FR"/>
        </w:rPr>
        <w:t xml:space="preserve">arrêt </w:t>
      </w:r>
      <w:r w:rsidRPr="00FE3F9B" w:rsidR="001F7493">
        <w:rPr>
          <w:i/>
          <w:lang w:val="fr-FR"/>
        </w:rPr>
        <w:t>Lyapin c. Russie</w:t>
      </w:r>
      <w:r w:rsidRPr="00FE3F9B" w:rsidR="001F7493">
        <w:rPr>
          <w:lang w:val="fr-FR"/>
        </w:rPr>
        <w:t xml:space="preserve"> (n</w:t>
      </w:r>
      <w:r w:rsidRPr="00FE3F9B" w:rsidR="001F7493">
        <w:rPr>
          <w:vertAlign w:val="superscript"/>
          <w:lang w:val="fr-FR"/>
        </w:rPr>
        <w:t>o</w:t>
      </w:r>
      <w:r w:rsidRPr="00FE3F9B" w:rsidR="001F7493">
        <w:rPr>
          <w:lang w:val="fr-FR"/>
        </w:rPr>
        <w:t> 46956/09, § 99, 24 juillet 2014).</w:t>
      </w:r>
    </w:p>
    <w:p w:rsidRPr="00FE3F9B" w:rsidR="001F7493" w:rsidP="00FE3F9B" w:rsidRDefault="001F7493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30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Selon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article 144 du CPP, toute plainte signalant une infraction doit faire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objet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une enquête préliminaire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autorité compétente dans un délai de trois jours.</w:t>
      </w:r>
    </w:p>
    <w:p w:rsidRPr="00FE3F9B" w:rsidR="00584D97" w:rsidP="00FE3F9B" w:rsidRDefault="00E77CB3">
      <w:pPr>
        <w:pStyle w:val="ECHRTitle1"/>
        <w:rPr>
          <w:lang w:val="fr-FR"/>
        </w:rPr>
      </w:pPr>
      <w:r w:rsidRPr="00FE3F9B">
        <w:rPr>
          <w:lang w:val="fr-FR"/>
        </w:rPr>
        <w:t>EN DROIT</w:t>
      </w:r>
    </w:p>
    <w:p w:rsidRPr="00FE3F9B" w:rsidR="00E77CB3" w:rsidP="00FE3F9B" w:rsidRDefault="00584D97">
      <w:pPr>
        <w:pStyle w:val="ECHRHeading1"/>
        <w:rPr>
          <w:lang w:val="fr-FR"/>
        </w:rPr>
      </w:pPr>
      <w:r w:rsidRPr="00FE3F9B">
        <w:rPr>
          <w:lang w:val="fr-FR"/>
        </w:rPr>
        <w:t>I.</w:t>
      </w:r>
      <w:r w:rsidRPr="00FE3F9B" w:rsidR="00E77CB3">
        <w:rPr>
          <w:lang w:val="fr-FR"/>
        </w:rPr>
        <w:t xml:space="preserve">  SUR LA VIOLATION </w:t>
      </w:r>
      <w:r w:rsidRPr="00FE3F9B" w:rsidR="00454185">
        <w:rPr>
          <w:lang w:val="fr-FR"/>
        </w:rPr>
        <w:t>ALLÉGUÉE DE L</w:t>
      </w:r>
      <w:r w:rsidRPr="00FE3F9B" w:rsidR="00FE3F9B">
        <w:rPr>
          <w:lang w:val="fr-FR"/>
        </w:rPr>
        <w:t>’</w:t>
      </w:r>
      <w:r w:rsidRPr="00FE3F9B" w:rsidR="00454185">
        <w:rPr>
          <w:lang w:val="fr-FR"/>
        </w:rPr>
        <w:t xml:space="preserve">ARTICLE </w:t>
      </w:r>
      <w:r w:rsidRPr="00FE3F9B" w:rsidR="00051668">
        <w:rPr>
          <w:lang w:val="fr-FR"/>
        </w:rPr>
        <w:t xml:space="preserve">3 </w:t>
      </w:r>
      <w:r w:rsidRPr="00FE3F9B" w:rsidR="00E77CB3">
        <w:rPr>
          <w:lang w:val="fr-FR"/>
        </w:rPr>
        <w:t>DE LA CONVENTION</w:t>
      </w:r>
    </w:p>
    <w:p w:rsidRPr="00FE3F9B" w:rsidR="001F7493" w:rsidP="00FE3F9B" w:rsidRDefault="00584D9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31</w:t>
      </w:r>
      <w:r w:rsidRPr="00FE3F9B">
        <w:rPr>
          <w:lang w:val="fr-FR"/>
        </w:rPr>
        <w:fldChar w:fldCharType="end"/>
      </w:r>
      <w:r w:rsidRPr="00FE3F9B" w:rsidR="00E77CB3">
        <w:rPr>
          <w:lang w:val="fr-FR"/>
        </w:rPr>
        <w:t>.  </w:t>
      </w:r>
      <w:r w:rsidRPr="00FE3F9B">
        <w:rPr>
          <w:lang w:val="fr-FR"/>
        </w:rPr>
        <w:t>La requérante</w:t>
      </w:r>
      <w:r w:rsidRPr="00FE3F9B" w:rsidR="00E77CB3">
        <w:rPr>
          <w:lang w:val="fr-FR"/>
        </w:rPr>
        <w:t xml:space="preserve"> </w:t>
      </w:r>
      <w:r w:rsidRPr="00FE3F9B" w:rsidR="001F7493">
        <w:rPr>
          <w:lang w:val="fr-FR"/>
        </w:rPr>
        <w:t>se plaint d</w:t>
      </w:r>
      <w:r w:rsidRPr="00FE3F9B" w:rsidR="00FE3F9B">
        <w:rPr>
          <w:lang w:val="fr-FR"/>
        </w:rPr>
        <w:t>’</w:t>
      </w:r>
      <w:r w:rsidRPr="00FE3F9B" w:rsidR="001F7493">
        <w:rPr>
          <w:lang w:val="fr-FR"/>
        </w:rPr>
        <w:t xml:space="preserve">avoir subi des mauvais traitements </w:t>
      </w:r>
      <w:r w:rsidRPr="00FE3F9B" w:rsidR="00762016">
        <w:rPr>
          <w:lang w:val="fr-FR"/>
        </w:rPr>
        <w:t>entre les</w:t>
      </w:r>
      <w:r w:rsidRPr="00FE3F9B" w:rsidR="001F7493">
        <w:rPr>
          <w:lang w:val="fr-FR"/>
        </w:rPr>
        <w:t xml:space="preserve"> mains de la police</w:t>
      </w:r>
      <w:r w:rsidRPr="00FE3F9B" w:rsidR="00762016">
        <w:rPr>
          <w:lang w:val="fr-FR"/>
        </w:rPr>
        <w:t>,</w:t>
      </w:r>
      <w:r w:rsidRPr="00FE3F9B" w:rsidR="001F7493">
        <w:rPr>
          <w:lang w:val="fr-FR"/>
        </w:rPr>
        <w:t xml:space="preserve"> et </w:t>
      </w:r>
      <w:r w:rsidRPr="00FE3F9B" w:rsidR="00762016">
        <w:rPr>
          <w:lang w:val="fr-FR"/>
        </w:rPr>
        <w:t xml:space="preserve">elle </w:t>
      </w:r>
      <w:r w:rsidRPr="00FE3F9B" w:rsidR="001F7493">
        <w:rPr>
          <w:lang w:val="fr-FR"/>
        </w:rPr>
        <w:t xml:space="preserve">dénonce </w:t>
      </w:r>
      <w:r w:rsidRPr="00FE3F9B" w:rsidR="00762016">
        <w:rPr>
          <w:lang w:val="fr-FR"/>
        </w:rPr>
        <w:t xml:space="preserve">une </w:t>
      </w:r>
      <w:r w:rsidRPr="00FE3F9B" w:rsidR="001F7493">
        <w:rPr>
          <w:lang w:val="fr-FR"/>
        </w:rPr>
        <w:t>absence d</w:t>
      </w:r>
      <w:r w:rsidRPr="00FE3F9B" w:rsidR="00FE3F9B">
        <w:rPr>
          <w:lang w:val="fr-FR"/>
        </w:rPr>
        <w:t>’</w:t>
      </w:r>
      <w:r w:rsidRPr="00FE3F9B" w:rsidR="001F7493">
        <w:rPr>
          <w:lang w:val="fr-FR"/>
        </w:rPr>
        <w:t>enquête effective relative à ce</w:t>
      </w:r>
      <w:r w:rsidRPr="00FE3F9B" w:rsidR="00994964">
        <w:rPr>
          <w:lang w:val="fr-FR"/>
        </w:rPr>
        <w:t>s</w:t>
      </w:r>
      <w:r w:rsidRPr="00FE3F9B" w:rsidR="001F7493">
        <w:rPr>
          <w:lang w:val="fr-FR"/>
        </w:rPr>
        <w:t xml:space="preserve"> allégation</w:t>
      </w:r>
      <w:r w:rsidRPr="00FE3F9B" w:rsidR="00994964">
        <w:rPr>
          <w:lang w:val="fr-FR"/>
        </w:rPr>
        <w:t>s</w:t>
      </w:r>
      <w:r w:rsidRPr="00FE3F9B" w:rsidR="001F7493">
        <w:rPr>
          <w:lang w:val="fr-FR"/>
        </w:rPr>
        <w:t xml:space="preserve">. </w:t>
      </w:r>
      <w:r w:rsidRPr="00FE3F9B" w:rsidR="00485E9B">
        <w:rPr>
          <w:lang w:val="fr-FR"/>
        </w:rPr>
        <w:t>Elle</w:t>
      </w:r>
      <w:r w:rsidRPr="00FE3F9B" w:rsidR="00454185">
        <w:rPr>
          <w:lang w:val="fr-FR"/>
        </w:rPr>
        <w:t xml:space="preserve"> invoque à cet</w:t>
      </w:r>
      <w:r w:rsidRPr="00FE3F9B" w:rsidR="002A62DE">
        <w:rPr>
          <w:lang w:val="fr-FR"/>
        </w:rPr>
        <w:t xml:space="preserve"> égard</w:t>
      </w:r>
      <w:r w:rsidRPr="00FE3F9B" w:rsidR="00485E9B">
        <w:rPr>
          <w:lang w:val="fr-FR"/>
        </w:rPr>
        <w:t xml:space="preserve"> l</w:t>
      </w:r>
      <w:r w:rsidRPr="00FE3F9B" w:rsidR="00FE3F9B">
        <w:rPr>
          <w:lang w:val="fr-FR"/>
        </w:rPr>
        <w:t>’</w:t>
      </w:r>
      <w:r w:rsidRPr="00FE3F9B" w:rsidR="00485E9B">
        <w:rPr>
          <w:lang w:val="fr-FR"/>
        </w:rPr>
        <w:t>article 3 de la Convention</w:t>
      </w:r>
      <w:r w:rsidRPr="00FE3F9B" w:rsidR="001F7493">
        <w:rPr>
          <w:lang w:val="fr-FR"/>
        </w:rPr>
        <w:t>, ainsi libellé :</w:t>
      </w:r>
    </w:p>
    <w:p w:rsidRPr="00FE3F9B" w:rsidR="00485E9B" w:rsidP="00FE3F9B" w:rsidRDefault="00485E9B">
      <w:pPr>
        <w:pStyle w:val="ECHRTitleCentre3"/>
        <w:rPr>
          <w:lang w:val="fr-FR"/>
        </w:rPr>
      </w:pPr>
      <w:r w:rsidRPr="00FE3F9B">
        <w:rPr>
          <w:lang w:val="fr-FR"/>
        </w:rPr>
        <w:t>Article 3</w:t>
      </w:r>
    </w:p>
    <w:p w:rsidRPr="00FE3F9B" w:rsidR="00485E9B" w:rsidP="00FE3F9B" w:rsidRDefault="001F7493">
      <w:pPr>
        <w:pStyle w:val="ECHRParaQuote"/>
        <w:rPr>
          <w:lang w:val="fr-FR"/>
        </w:rPr>
      </w:pPr>
      <w:r w:rsidRPr="00FE3F9B">
        <w:rPr>
          <w:lang w:val="fr-FR"/>
        </w:rPr>
        <w:t>« Nul ne peut être soumis à la torture ni à des peines ou traitements inhumains ou dégradants. »</w:t>
      </w:r>
    </w:p>
    <w:p w:rsidRPr="00FE3F9B" w:rsidR="00140E6F" w:rsidP="00FE3F9B" w:rsidRDefault="00140E6F">
      <w:pPr>
        <w:pStyle w:val="ECHRHeading2"/>
        <w:rPr>
          <w:lang w:val="fr-FR"/>
        </w:rPr>
      </w:pPr>
      <w:r w:rsidRPr="00FE3F9B">
        <w:rPr>
          <w:lang w:val="fr-FR"/>
        </w:rPr>
        <w:t>A.  Thèses des parties</w:t>
      </w:r>
    </w:p>
    <w:p w:rsidRPr="00FE3F9B" w:rsidR="00140E6F" w:rsidP="00FE3F9B" w:rsidRDefault="00140E6F">
      <w:pPr>
        <w:pStyle w:val="ECHRHeading3"/>
        <w:rPr>
          <w:lang w:val="fr-FR"/>
        </w:rPr>
      </w:pPr>
      <w:r w:rsidRPr="00FE3F9B">
        <w:rPr>
          <w:lang w:val="fr-FR"/>
        </w:rPr>
        <w:t>1.  Le Gouvernement</w:t>
      </w:r>
    </w:p>
    <w:p w:rsidRPr="00FE3F9B" w:rsidR="00953EE7" w:rsidP="00FE3F9B" w:rsidRDefault="00140E6F">
      <w:pPr>
        <w:pStyle w:val="ECHRPara"/>
        <w:rPr>
          <w:snapToGrid w:val="0"/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32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Le Gouvernement conteste la thèse de la requérant</w:t>
      </w:r>
      <w:r w:rsidRPr="00FE3F9B" w:rsidR="004F2C13">
        <w:rPr>
          <w:lang w:val="fr-FR"/>
        </w:rPr>
        <w:t>e</w:t>
      </w:r>
      <w:r w:rsidRPr="00FE3F9B">
        <w:rPr>
          <w:lang w:val="fr-FR"/>
        </w:rPr>
        <w:t xml:space="preserve">. </w:t>
      </w:r>
      <w:r w:rsidRPr="00FE3F9B" w:rsidR="004F2C13">
        <w:rPr>
          <w:lang w:val="fr-FR"/>
        </w:rPr>
        <w:t xml:space="preserve">En se basant sur </w:t>
      </w:r>
      <w:r w:rsidRPr="00FE3F9B" w:rsidR="00753C8A">
        <w:rPr>
          <w:lang w:val="fr-FR"/>
        </w:rPr>
        <w:t>s</w:t>
      </w:r>
      <w:r w:rsidRPr="00FE3F9B" w:rsidR="004F2C13">
        <w:rPr>
          <w:lang w:val="fr-FR"/>
        </w:rPr>
        <w:t xml:space="preserve">a version des faits </w:t>
      </w:r>
      <w:r w:rsidRPr="00FE3F9B" w:rsidR="00753C8A">
        <w:rPr>
          <w:lang w:val="fr-FR"/>
        </w:rPr>
        <w:t>(</w:t>
      </w:r>
      <w:r w:rsidRPr="00FE3F9B" w:rsidR="004F2C13">
        <w:rPr>
          <w:lang w:val="fr-FR"/>
        </w:rPr>
        <w:t>paragraphes</w:t>
      </w:r>
      <w:r w:rsidRPr="00FE3F9B" w:rsidR="004D40C2">
        <w:rPr>
          <w:lang w:val="fr-FR"/>
        </w:rPr>
        <w:t xml:space="preserve"> </w:t>
      </w:r>
      <w:r w:rsidRPr="00FE3F9B" w:rsidR="004F7A1F">
        <w:rPr>
          <w:lang w:val="fr-FR"/>
        </w:rPr>
        <w:fldChar w:fldCharType="begin"/>
      </w:r>
      <w:r w:rsidRPr="00FE3F9B" w:rsidR="004F7A1F">
        <w:rPr>
          <w:lang w:val="fr-FR"/>
        </w:rPr>
        <w:instrText xml:space="preserve"> REF versgouv1 \h </w:instrText>
      </w:r>
      <w:r w:rsidRPr="00FE3F9B" w:rsidR="004F7A1F">
        <w:rPr>
          <w:lang w:val="fr-FR"/>
        </w:rPr>
      </w:r>
      <w:r w:rsidRPr="00FE3F9B" w:rsidR="004F7A1F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10</w:t>
      </w:r>
      <w:r w:rsidRPr="00FE3F9B" w:rsidR="004F7A1F">
        <w:rPr>
          <w:lang w:val="fr-FR"/>
        </w:rPr>
        <w:fldChar w:fldCharType="end"/>
      </w:r>
      <w:r w:rsidRPr="00FE3F9B" w:rsidR="004F7A1F">
        <w:rPr>
          <w:lang w:val="fr-FR"/>
        </w:rPr>
        <w:noBreakHyphen/>
      </w:r>
      <w:r w:rsidRPr="00FE3F9B" w:rsidR="004F7A1F">
        <w:rPr>
          <w:lang w:val="fr-FR"/>
        </w:rPr>
        <w:fldChar w:fldCharType="begin"/>
      </w:r>
      <w:r w:rsidRPr="00FE3F9B" w:rsidR="004F7A1F">
        <w:rPr>
          <w:lang w:val="fr-FR"/>
        </w:rPr>
        <w:instrText xml:space="preserve"> REF versgouv2 \h </w:instrText>
      </w:r>
      <w:r w:rsidRPr="00FE3F9B" w:rsidR="004F7A1F">
        <w:rPr>
          <w:lang w:val="fr-FR"/>
        </w:rPr>
      </w:r>
      <w:r w:rsidRPr="00FE3F9B" w:rsidR="004F7A1F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12</w:t>
      </w:r>
      <w:r w:rsidRPr="00FE3F9B" w:rsidR="004F7A1F">
        <w:rPr>
          <w:lang w:val="fr-FR"/>
        </w:rPr>
        <w:fldChar w:fldCharType="end"/>
      </w:r>
      <w:r w:rsidRPr="00FE3F9B" w:rsidR="004F7A1F">
        <w:rPr>
          <w:lang w:val="fr-FR"/>
        </w:rPr>
        <w:t xml:space="preserve"> </w:t>
      </w:r>
      <w:r w:rsidRPr="00FE3F9B" w:rsidR="004F2C13">
        <w:rPr>
          <w:lang w:val="fr-FR"/>
        </w:rPr>
        <w:t>ci-dessus</w:t>
      </w:r>
      <w:r w:rsidRPr="00FE3F9B" w:rsidR="00753C8A">
        <w:rPr>
          <w:lang w:val="fr-FR"/>
        </w:rPr>
        <w:t>), il</w:t>
      </w:r>
      <w:r w:rsidRPr="00FE3F9B" w:rsidR="004F2C13">
        <w:rPr>
          <w:lang w:val="fr-FR"/>
        </w:rPr>
        <w:t xml:space="preserve"> argue que les policiers P. et T. n</w:t>
      </w:r>
      <w:r w:rsidRPr="00FE3F9B" w:rsidR="00FE3F9B">
        <w:rPr>
          <w:lang w:val="fr-FR"/>
        </w:rPr>
        <w:t>’</w:t>
      </w:r>
      <w:r w:rsidRPr="00FE3F9B" w:rsidR="004F2C13">
        <w:rPr>
          <w:lang w:val="fr-FR"/>
        </w:rPr>
        <w:t xml:space="preserve">ont pas asséné de coups à la requérante et que la force utilisée </w:t>
      </w:r>
      <w:r w:rsidRPr="00FE3F9B" w:rsidR="00753C8A">
        <w:rPr>
          <w:lang w:val="fr-FR"/>
        </w:rPr>
        <w:t>par eux</w:t>
      </w:r>
      <w:r w:rsidRPr="00FE3F9B" w:rsidR="004D40C2">
        <w:rPr>
          <w:lang w:val="fr-FR"/>
        </w:rPr>
        <w:t xml:space="preserve">, notamment </w:t>
      </w:r>
      <w:r w:rsidRPr="00FE3F9B" w:rsidR="00BC21FD">
        <w:rPr>
          <w:lang w:val="fr-FR"/>
        </w:rPr>
        <w:t>le fait d</w:t>
      </w:r>
      <w:r w:rsidRPr="00FE3F9B" w:rsidR="00FE3F9B">
        <w:rPr>
          <w:lang w:val="fr-FR"/>
        </w:rPr>
        <w:t>’</w:t>
      </w:r>
      <w:r w:rsidRPr="00FE3F9B" w:rsidR="00BC21FD">
        <w:rPr>
          <w:lang w:val="fr-FR"/>
        </w:rPr>
        <w:t>avoir saisi l</w:t>
      </w:r>
      <w:r w:rsidRPr="00FE3F9B" w:rsidR="00FE3F9B">
        <w:rPr>
          <w:lang w:val="fr-FR"/>
        </w:rPr>
        <w:t>’</w:t>
      </w:r>
      <w:r w:rsidRPr="00FE3F9B" w:rsidR="00BC21FD">
        <w:rPr>
          <w:lang w:val="fr-FR"/>
        </w:rPr>
        <w:t>intéressée par les</w:t>
      </w:r>
      <w:r w:rsidRPr="00FE3F9B" w:rsidR="004D40C2">
        <w:rPr>
          <w:lang w:val="fr-FR"/>
        </w:rPr>
        <w:t xml:space="preserve"> bras, </w:t>
      </w:r>
      <w:r w:rsidRPr="00FE3F9B" w:rsidR="004F2C13">
        <w:rPr>
          <w:lang w:val="fr-FR"/>
        </w:rPr>
        <w:t>n</w:t>
      </w:r>
      <w:r w:rsidRPr="00FE3F9B" w:rsidR="00FE3F9B">
        <w:rPr>
          <w:lang w:val="fr-FR"/>
        </w:rPr>
        <w:t>’</w:t>
      </w:r>
      <w:r w:rsidRPr="00FE3F9B" w:rsidR="004F2C13">
        <w:rPr>
          <w:lang w:val="fr-FR"/>
        </w:rPr>
        <w:t xml:space="preserve">a pas été disproportionnée </w:t>
      </w:r>
      <w:r w:rsidRPr="00FE3F9B" w:rsidR="004D40C2">
        <w:rPr>
          <w:lang w:val="fr-FR"/>
        </w:rPr>
        <w:t xml:space="preserve">eu égard au comportement de </w:t>
      </w:r>
      <w:r w:rsidRPr="00FE3F9B" w:rsidR="00753C8A">
        <w:rPr>
          <w:lang w:val="fr-FR"/>
        </w:rPr>
        <w:t>cette dernière</w:t>
      </w:r>
      <w:r w:rsidRPr="00FE3F9B" w:rsidR="004F2C13">
        <w:rPr>
          <w:lang w:val="fr-FR"/>
        </w:rPr>
        <w:t xml:space="preserve">. </w:t>
      </w:r>
      <w:r w:rsidRPr="00FE3F9B" w:rsidR="004D40C2">
        <w:rPr>
          <w:lang w:val="fr-FR"/>
        </w:rPr>
        <w:t xml:space="preserve">Il se réfère à cet égard aux arrêts </w:t>
      </w:r>
      <w:r w:rsidRPr="00FE3F9B" w:rsidR="004D40C2">
        <w:rPr>
          <w:i/>
          <w:lang w:val="fr-FR"/>
        </w:rPr>
        <w:t>Poliakov c. Russie</w:t>
      </w:r>
      <w:r w:rsidRPr="00FE3F9B" w:rsidR="004D40C2">
        <w:rPr>
          <w:lang w:val="fr-FR"/>
        </w:rPr>
        <w:t xml:space="preserve"> (n</w:t>
      </w:r>
      <w:r w:rsidRPr="00FE3F9B" w:rsidR="004D40C2">
        <w:rPr>
          <w:vertAlign w:val="superscript"/>
          <w:lang w:val="fr-FR"/>
        </w:rPr>
        <w:t>o</w:t>
      </w:r>
      <w:r w:rsidRPr="00FE3F9B" w:rsidR="004D40C2">
        <w:rPr>
          <w:lang w:val="fr-FR"/>
        </w:rPr>
        <w:t> </w:t>
      </w:r>
      <w:r w:rsidRPr="00FE3F9B" w:rsidR="004F7A1F">
        <w:rPr>
          <w:lang w:val="fr-FR"/>
        </w:rPr>
        <w:t>77018/01, § </w:t>
      </w:r>
      <w:r w:rsidRPr="00FE3F9B" w:rsidR="004D40C2">
        <w:rPr>
          <w:lang w:val="fr-FR"/>
        </w:rPr>
        <w:t xml:space="preserve">25, 29 janvier 2009) et </w:t>
      </w:r>
      <w:r w:rsidRPr="00FE3F9B" w:rsidR="00262406">
        <w:rPr>
          <w:i/>
          <w:snapToGrid w:val="0"/>
          <w:lang w:val="fr-FR"/>
        </w:rPr>
        <w:t>Davitidze c. Russie</w:t>
      </w:r>
      <w:r w:rsidRPr="00FE3F9B" w:rsidR="00262406">
        <w:rPr>
          <w:snapToGrid w:val="0"/>
          <w:lang w:val="fr-FR"/>
        </w:rPr>
        <w:t xml:space="preserve"> (n</w:t>
      </w:r>
      <w:r w:rsidRPr="00FE3F9B" w:rsidR="00262406">
        <w:rPr>
          <w:snapToGrid w:val="0"/>
          <w:vertAlign w:val="superscript"/>
          <w:lang w:val="fr-FR"/>
        </w:rPr>
        <w:t>o</w:t>
      </w:r>
      <w:r w:rsidRPr="00FE3F9B" w:rsidR="00262406">
        <w:rPr>
          <w:snapToGrid w:val="0"/>
          <w:lang w:val="fr-FR"/>
        </w:rPr>
        <w:t> 8810/05, § 89, 30 mai 2013)</w:t>
      </w:r>
      <w:r w:rsidRPr="00FE3F9B" w:rsidR="004D40C2">
        <w:rPr>
          <w:snapToGrid w:val="0"/>
          <w:lang w:val="fr-FR"/>
        </w:rPr>
        <w:t>.</w:t>
      </w:r>
    </w:p>
    <w:p w:rsidRPr="00FE3F9B" w:rsidR="00953EE7" w:rsidP="00FE3F9B" w:rsidRDefault="004F7A1F">
      <w:pPr>
        <w:pStyle w:val="ECHRPara"/>
        <w:rPr>
          <w:snapToGrid w:val="0"/>
          <w:lang w:val="fr-FR"/>
        </w:rPr>
      </w:pPr>
      <w:r w:rsidRPr="00FE3F9B">
        <w:rPr>
          <w:snapToGrid w:val="0"/>
          <w:lang w:val="fr-FR"/>
        </w:rPr>
        <w:fldChar w:fldCharType="begin"/>
      </w:r>
      <w:r w:rsidRPr="00FE3F9B">
        <w:rPr>
          <w:snapToGrid w:val="0"/>
          <w:lang w:val="fr-FR"/>
        </w:rPr>
        <w:instrText xml:space="preserve"> SEQ level0 \*arabic </w:instrText>
      </w:r>
      <w:r w:rsidRPr="00FE3F9B">
        <w:rPr>
          <w:snapToGrid w:val="0"/>
          <w:lang w:val="fr-FR"/>
        </w:rPr>
        <w:fldChar w:fldCharType="separate"/>
      </w:r>
      <w:r w:rsidRPr="00FE3F9B" w:rsidR="00FE3F9B">
        <w:rPr>
          <w:noProof/>
          <w:snapToGrid w:val="0"/>
          <w:lang w:val="fr-FR"/>
        </w:rPr>
        <w:t>33</w:t>
      </w:r>
      <w:r w:rsidRPr="00FE3F9B">
        <w:rPr>
          <w:snapToGrid w:val="0"/>
          <w:lang w:val="fr-FR"/>
        </w:rPr>
        <w:fldChar w:fldCharType="end"/>
      </w:r>
      <w:r w:rsidRPr="00FE3F9B">
        <w:rPr>
          <w:snapToGrid w:val="0"/>
          <w:lang w:val="fr-FR"/>
        </w:rPr>
        <w:t>.  </w:t>
      </w:r>
      <w:r w:rsidRPr="00FE3F9B" w:rsidR="001D2F22">
        <w:rPr>
          <w:snapToGrid w:val="0"/>
          <w:lang w:val="fr-FR"/>
        </w:rPr>
        <w:t>En s</w:t>
      </w:r>
      <w:r w:rsidRPr="00FE3F9B" w:rsidR="00FE3F9B">
        <w:rPr>
          <w:snapToGrid w:val="0"/>
          <w:lang w:val="fr-FR"/>
        </w:rPr>
        <w:t>’</w:t>
      </w:r>
      <w:r w:rsidRPr="00FE3F9B" w:rsidR="001D2F22">
        <w:rPr>
          <w:snapToGrid w:val="0"/>
          <w:lang w:val="fr-FR"/>
        </w:rPr>
        <w:t xml:space="preserve">appuyant sur le contenu des </w:t>
      </w:r>
      <w:r w:rsidRPr="00FE3F9B" w:rsidR="00EF6FED">
        <w:rPr>
          <w:snapToGrid w:val="0"/>
          <w:lang w:val="fr-FR"/>
        </w:rPr>
        <w:t xml:space="preserve">explications </w:t>
      </w:r>
      <w:r w:rsidRPr="00FE3F9B" w:rsidR="001D2F22">
        <w:rPr>
          <w:snapToGrid w:val="0"/>
          <w:lang w:val="fr-FR"/>
        </w:rPr>
        <w:t>des personnes entendues dans le cadre de l</w:t>
      </w:r>
      <w:r w:rsidRPr="00FE3F9B" w:rsidR="00FE3F9B">
        <w:rPr>
          <w:snapToGrid w:val="0"/>
          <w:lang w:val="fr-FR"/>
        </w:rPr>
        <w:t>’</w:t>
      </w:r>
      <w:r w:rsidRPr="00FE3F9B" w:rsidR="001D2F22">
        <w:rPr>
          <w:snapToGrid w:val="0"/>
          <w:lang w:val="fr-FR"/>
        </w:rPr>
        <w:t xml:space="preserve">enquête préliminaire, </w:t>
      </w:r>
      <w:r w:rsidRPr="00FE3F9B" w:rsidR="00B80A6D">
        <w:rPr>
          <w:snapToGrid w:val="0"/>
          <w:lang w:val="fr-FR"/>
        </w:rPr>
        <w:t>le Gouvernement se</w:t>
      </w:r>
      <w:r w:rsidRPr="00FE3F9B" w:rsidR="001D2F22">
        <w:rPr>
          <w:snapToGrid w:val="0"/>
          <w:lang w:val="fr-FR"/>
        </w:rPr>
        <w:t xml:space="preserve"> ralli</w:t>
      </w:r>
      <w:r w:rsidRPr="00FE3F9B" w:rsidR="00B80A6D">
        <w:rPr>
          <w:snapToGrid w:val="0"/>
          <w:lang w:val="fr-FR"/>
        </w:rPr>
        <w:t xml:space="preserve">e </w:t>
      </w:r>
      <w:r w:rsidRPr="00FE3F9B" w:rsidR="001D2F22">
        <w:rPr>
          <w:snapToGrid w:val="0"/>
          <w:lang w:val="fr-FR"/>
        </w:rPr>
        <w:t>aux conclusions des autorités chargé</w:t>
      </w:r>
      <w:r w:rsidRPr="00FE3F9B" w:rsidR="00B80A6D">
        <w:rPr>
          <w:snapToGrid w:val="0"/>
          <w:lang w:val="fr-FR"/>
        </w:rPr>
        <w:t>e</w:t>
      </w:r>
      <w:r w:rsidRPr="00FE3F9B" w:rsidR="001D2F22">
        <w:rPr>
          <w:snapToGrid w:val="0"/>
          <w:lang w:val="fr-FR"/>
        </w:rPr>
        <w:t>s de l</w:t>
      </w:r>
      <w:r w:rsidRPr="00FE3F9B" w:rsidR="00FE3F9B">
        <w:rPr>
          <w:snapToGrid w:val="0"/>
          <w:lang w:val="fr-FR"/>
        </w:rPr>
        <w:t>’</w:t>
      </w:r>
      <w:r w:rsidRPr="00FE3F9B" w:rsidR="001D2F22">
        <w:rPr>
          <w:snapToGrid w:val="0"/>
          <w:lang w:val="fr-FR"/>
        </w:rPr>
        <w:t>instruction</w:t>
      </w:r>
      <w:r w:rsidRPr="00FE3F9B" w:rsidR="00B80A6D">
        <w:rPr>
          <w:snapToGrid w:val="0"/>
          <w:lang w:val="fr-FR"/>
        </w:rPr>
        <w:t xml:space="preserve"> pour dire </w:t>
      </w:r>
      <w:r w:rsidRPr="00FE3F9B" w:rsidR="001D2F22">
        <w:rPr>
          <w:snapToGrid w:val="0"/>
          <w:lang w:val="fr-FR"/>
        </w:rPr>
        <w:t xml:space="preserve">que les allégations de la requérante manquent de cohérence et de clarté : </w:t>
      </w:r>
      <w:r w:rsidRPr="00FE3F9B" w:rsidR="004728FD">
        <w:rPr>
          <w:snapToGrid w:val="0"/>
          <w:lang w:val="fr-FR"/>
        </w:rPr>
        <w:t>l</w:t>
      </w:r>
      <w:r w:rsidRPr="00FE3F9B" w:rsidR="00FE3F9B">
        <w:rPr>
          <w:snapToGrid w:val="0"/>
          <w:lang w:val="fr-FR"/>
        </w:rPr>
        <w:t>’</w:t>
      </w:r>
      <w:r w:rsidRPr="00FE3F9B" w:rsidR="004728FD">
        <w:rPr>
          <w:snapToGrid w:val="0"/>
          <w:lang w:val="fr-FR"/>
        </w:rPr>
        <w:t>intéressée</w:t>
      </w:r>
      <w:r w:rsidRPr="00FE3F9B" w:rsidR="001D2F22">
        <w:rPr>
          <w:snapToGrid w:val="0"/>
          <w:lang w:val="fr-FR"/>
        </w:rPr>
        <w:t xml:space="preserve"> </w:t>
      </w:r>
      <w:r w:rsidRPr="00FE3F9B" w:rsidR="00B25B4B">
        <w:rPr>
          <w:snapToGrid w:val="0"/>
          <w:lang w:val="fr-FR"/>
        </w:rPr>
        <w:t>aurait été incapable de préciser le n</w:t>
      </w:r>
      <w:r w:rsidRPr="00FE3F9B" w:rsidR="001D2F22">
        <w:rPr>
          <w:snapToGrid w:val="0"/>
          <w:lang w:val="fr-FR"/>
        </w:rPr>
        <w:t xml:space="preserve">ombre et </w:t>
      </w:r>
      <w:r w:rsidRPr="00FE3F9B" w:rsidR="00B25B4B">
        <w:rPr>
          <w:snapToGrid w:val="0"/>
          <w:lang w:val="fr-FR"/>
        </w:rPr>
        <w:t xml:space="preserve">le </w:t>
      </w:r>
      <w:r w:rsidRPr="00FE3F9B" w:rsidR="001D2F22">
        <w:rPr>
          <w:snapToGrid w:val="0"/>
          <w:lang w:val="fr-FR"/>
        </w:rPr>
        <w:t>type de coups prétendument assénés par P. et</w:t>
      </w:r>
      <w:r w:rsidRPr="00FE3F9B">
        <w:rPr>
          <w:snapToGrid w:val="0"/>
          <w:lang w:val="fr-FR"/>
        </w:rPr>
        <w:t xml:space="preserve"> </w:t>
      </w:r>
      <w:r w:rsidRPr="00FE3F9B" w:rsidR="001D2F22">
        <w:rPr>
          <w:snapToGrid w:val="0"/>
          <w:lang w:val="fr-FR"/>
        </w:rPr>
        <w:t>T.</w:t>
      </w:r>
      <w:r w:rsidRPr="00FE3F9B" w:rsidR="00B25B4B">
        <w:rPr>
          <w:snapToGrid w:val="0"/>
          <w:lang w:val="fr-FR"/>
        </w:rPr>
        <w:t> ; elle n</w:t>
      </w:r>
      <w:r w:rsidRPr="00FE3F9B" w:rsidR="00FE3F9B">
        <w:rPr>
          <w:snapToGrid w:val="0"/>
          <w:lang w:val="fr-FR"/>
        </w:rPr>
        <w:t>’</w:t>
      </w:r>
      <w:r w:rsidRPr="00FE3F9B" w:rsidR="00B25B4B">
        <w:rPr>
          <w:snapToGrid w:val="0"/>
          <w:lang w:val="fr-FR"/>
        </w:rPr>
        <w:t>aurait pas parlé de l</w:t>
      </w:r>
      <w:r w:rsidRPr="00FE3F9B" w:rsidR="00FE3F9B">
        <w:rPr>
          <w:snapToGrid w:val="0"/>
          <w:lang w:val="fr-FR"/>
        </w:rPr>
        <w:t>’</w:t>
      </w:r>
      <w:r w:rsidRPr="00FE3F9B" w:rsidR="00B25B4B">
        <w:rPr>
          <w:snapToGrid w:val="0"/>
          <w:lang w:val="fr-FR"/>
        </w:rPr>
        <w:t>incident à sa mère</w:t>
      </w:r>
      <w:r w:rsidRPr="00FE3F9B" w:rsidR="004728FD">
        <w:rPr>
          <w:snapToGrid w:val="0"/>
          <w:lang w:val="fr-FR"/>
        </w:rPr>
        <w:t>,</w:t>
      </w:r>
      <w:r w:rsidRPr="00FE3F9B" w:rsidR="00B25B4B">
        <w:rPr>
          <w:snapToGrid w:val="0"/>
          <w:lang w:val="fr-FR"/>
        </w:rPr>
        <w:t xml:space="preserve"> Sh.</w:t>
      </w:r>
      <w:r w:rsidRPr="00FE3F9B" w:rsidR="004728FD">
        <w:rPr>
          <w:snapToGrid w:val="0"/>
          <w:lang w:val="fr-FR"/>
        </w:rPr>
        <w:t>,</w:t>
      </w:r>
      <w:r w:rsidRPr="00FE3F9B" w:rsidR="00B25B4B">
        <w:rPr>
          <w:snapToGrid w:val="0"/>
          <w:lang w:val="fr-FR"/>
        </w:rPr>
        <w:t xml:space="preserve"> le soir du 6 novembre 2001 ; </w:t>
      </w:r>
      <w:r w:rsidRPr="00FE3F9B" w:rsidR="004728FD">
        <w:rPr>
          <w:snapToGrid w:val="0"/>
          <w:lang w:val="fr-FR"/>
        </w:rPr>
        <w:t xml:space="preserve">et </w:t>
      </w:r>
      <w:r w:rsidRPr="00FE3F9B" w:rsidR="00B25B4B">
        <w:rPr>
          <w:snapToGrid w:val="0"/>
          <w:lang w:val="fr-FR"/>
        </w:rPr>
        <w:t>elle ne se serait pas plaint</w:t>
      </w:r>
      <w:r w:rsidRPr="00FE3F9B" w:rsidR="00AD5D7C">
        <w:rPr>
          <w:snapToGrid w:val="0"/>
          <w:lang w:val="fr-FR"/>
        </w:rPr>
        <w:t>e</w:t>
      </w:r>
      <w:r w:rsidRPr="00FE3F9B" w:rsidR="00B25B4B">
        <w:rPr>
          <w:snapToGrid w:val="0"/>
          <w:lang w:val="fr-FR"/>
        </w:rPr>
        <w:t xml:space="preserve"> de douleurs au thorax au médecin du service de traumatologie a</w:t>
      </w:r>
      <w:r w:rsidRPr="00FE3F9B" w:rsidR="004728FD">
        <w:rPr>
          <w:snapToGrid w:val="0"/>
          <w:lang w:val="fr-FR"/>
        </w:rPr>
        <w:t>yan</w:t>
      </w:r>
      <w:r w:rsidRPr="00FE3F9B" w:rsidR="00B25B4B">
        <w:rPr>
          <w:snapToGrid w:val="0"/>
          <w:lang w:val="fr-FR"/>
        </w:rPr>
        <w:t xml:space="preserve">t établi le certificat </w:t>
      </w:r>
      <w:r w:rsidRPr="00FE3F9B">
        <w:rPr>
          <w:snapToGrid w:val="0"/>
          <w:lang w:val="fr-FR"/>
        </w:rPr>
        <w:t>médical du 6 </w:t>
      </w:r>
      <w:r w:rsidRPr="00FE3F9B" w:rsidR="00B25B4B">
        <w:rPr>
          <w:snapToGrid w:val="0"/>
          <w:lang w:val="fr-FR"/>
        </w:rPr>
        <w:t xml:space="preserve">novembre 2001. Ensuite, le Gouvernement estime que, </w:t>
      </w:r>
      <w:r w:rsidRPr="00FE3F9B" w:rsidR="004728FD">
        <w:rPr>
          <w:snapToGrid w:val="0"/>
          <w:lang w:val="fr-FR"/>
        </w:rPr>
        <w:t>si la requérante avait fait l</w:t>
      </w:r>
      <w:r w:rsidRPr="00FE3F9B" w:rsidR="00FE3F9B">
        <w:rPr>
          <w:snapToGrid w:val="0"/>
          <w:lang w:val="fr-FR"/>
        </w:rPr>
        <w:t>’</w:t>
      </w:r>
      <w:r w:rsidRPr="00FE3F9B" w:rsidR="004728FD">
        <w:rPr>
          <w:snapToGrid w:val="0"/>
          <w:lang w:val="fr-FR"/>
        </w:rPr>
        <w:t xml:space="preserve">objet des mauvais traitements allégués </w:t>
      </w:r>
      <w:r w:rsidRPr="00FE3F9B" w:rsidR="00B25B4B">
        <w:rPr>
          <w:snapToGrid w:val="0"/>
          <w:lang w:val="fr-FR"/>
        </w:rPr>
        <w:t xml:space="preserve">dans les circonstances décrites par </w:t>
      </w:r>
      <w:r w:rsidRPr="00FE3F9B" w:rsidR="004728FD">
        <w:rPr>
          <w:snapToGrid w:val="0"/>
          <w:lang w:val="fr-FR"/>
        </w:rPr>
        <w:t>elle</w:t>
      </w:r>
      <w:r w:rsidRPr="00FE3F9B" w:rsidR="00B25B4B">
        <w:rPr>
          <w:snapToGrid w:val="0"/>
          <w:lang w:val="fr-FR"/>
        </w:rPr>
        <w:t xml:space="preserve">, elle aurait dû subir des lésions beaucoup plus graves, notamment à </w:t>
      </w:r>
      <w:r w:rsidRPr="00FE3F9B" w:rsidR="004728FD">
        <w:rPr>
          <w:snapToGrid w:val="0"/>
          <w:lang w:val="fr-FR"/>
        </w:rPr>
        <w:t>l</w:t>
      </w:r>
      <w:r w:rsidRPr="00FE3F9B" w:rsidR="00B25B4B">
        <w:rPr>
          <w:snapToGrid w:val="0"/>
          <w:lang w:val="fr-FR"/>
        </w:rPr>
        <w:t xml:space="preserve">a tête. Le Gouvernement </w:t>
      </w:r>
      <w:r w:rsidRPr="00FE3F9B" w:rsidR="004728FD">
        <w:rPr>
          <w:snapToGrid w:val="0"/>
          <w:lang w:val="fr-FR"/>
        </w:rPr>
        <w:t>indique</w:t>
      </w:r>
      <w:r w:rsidRPr="00FE3F9B" w:rsidR="00B25B4B">
        <w:rPr>
          <w:snapToGrid w:val="0"/>
          <w:lang w:val="fr-FR"/>
        </w:rPr>
        <w:t xml:space="preserve"> également</w:t>
      </w:r>
      <w:r w:rsidRPr="00FE3F9B" w:rsidR="00954A5F">
        <w:rPr>
          <w:snapToGrid w:val="0"/>
          <w:lang w:val="fr-FR"/>
        </w:rPr>
        <w:t xml:space="preserve">, eu égard </w:t>
      </w:r>
      <w:r w:rsidRPr="00FE3F9B" w:rsidR="008E5345">
        <w:rPr>
          <w:snapToGrid w:val="0"/>
          <w:lang w:val="fr-FR"/>
        </w:rPr>
        <w:t>à l</w:t>
      </w:r>
      <w:r w:rsidRPr="00FE3F9B" w:rsidR="00FE3F9B">
        <w:rPr>
          <w:snapToGrid w:val="0"/>
          <w:lang w:val="fr-FR"/>
        </w:rPr>
        <w:t>’</w:t>
      </w:r>
      <w:r w:rsidRPr="00FE3F9B" w:rsidR="008E5345">
        <w:rPr>
          <w:snapToGrid w:val="0"/>
          <w:lang w:val="fr-FR"/>
        </w:rPr>
        <w:t>absence de lésions relevées sur les</w:t>
      </w:r>
      <w:r w:rsidRPr="00FE3F9B" w:rsidR="00B25B4B">
        <w:rPr>
          <w:snapToGrid w:val="0"/>
          <w:lang w:val="fr-FR"/>
        </w:rPr>
        <w:t xml:space="preserve"> genoux</w:t>
      </w:r>
      <w:r w:rsidRPr="00FE3F9B" w:rsidR="004A457E">
        <w:rPr>
          <w:snapToGrid w:val="0"/>
          <w:lang w:val="fr-FR"/>
        </w:rPr>
        <w:t xml:space="preserve"> de la requérante</w:t>
      </w:r>
      <w:r w:rsidRPr="00FE3F9B" w:rsidR="00954A5F">
        <w:rPr>
          <w:snapToGrid w:val="0"/>
          <w:lang w:val="fr-FR"/>
        </w:rPr>
        <w:t xml:space="preserve">, </w:t>
      </w:r>
      <w:r w:rsidRPr="00FE3F9B" w:rsidR="00B25B4B">
        <w:rPr>
          <w:snapToGrid w:val="0"/>
          <w:lang w:val="fr-FR"/>
        </w:rPr>
        <w:t>que les policiers</w:t>
      </w:r>
      <w:r w:rsidRPr="00FE3F9B" w:rsidR="00954A5F">
        <w:rPr>
          <w:snapToGrid w:val="0"/>
          <w:lang w:val="fr-FR"/>
        </w:rPr>
        <w:t xml:space="preserve"> </w:t>
      </w:r>
      <w:r w:rsidRPr="00FE3F9B" w:rsidR="00B25B4B">
        <w:rPr>
          <w:snapToGrid w:val="0"/>
          <w:lang w:val="fr-FR"/>
        </w:rPr>
        <w:t xml:space="preserve">soutenaient </w:t>
      </w:r>
      <w:r w:rsidRPr="00FE3F9B" w:rsidR="004A457E">
        <w:rPr>
          <w:snapToGrid w:val="0"/>
          <w:lang w:val="fr-FR"/>
        </w:rPr>
        <w:t>l</w:t>
      </w:r>
      <w:r w:rsidRPr="00FE3F9B" w:rsidR="00FE3F9B">
        <w:rPr>
          <w:snapToGrid w:val="0"/>
          <w:lang w:val="fr-FR"/>
        </w:rPr>
        <w:t>’</w:t>
      </w:r>
      <w:r w:rsidRPr="00FE3F9B" w:rsidR="004A457E">
        <w:rPr>
          <w:snapToGrid w:val="0"/>
          <w:lang w:val="fr-FR"/>
        </w:rPr>
        <w:t>intéressée</w:t>
      </w:r>
      <w:r w:rsidRPr="00FE3F9B" w:rsidR="008E5345">
        <w:rPr>
          <w:snapToGrid w:val="0"/>
          <w:lang w:val="fr-FR"/>
        </w:rPr>
        <w:t xml:space="preserve"> </w:t>
      </w:r>
      <w:r w:rsidRPr="00FE3F9B" w:rsidR="00B25B4B">
        <w:rPr>
          <w:snapToGrid w:val="0"/>
          <w:lang w:val="fr-FR"/>
        </w:rPr>
        <w:t>sous les bras lors</w:t>
      </w:r>
      <w:r w:rsidRPr="00FE3F9B" w:rsidR="00954A5F">
        <w:rPr>
          <w:snapToGrid w:val="0"/>
          <w:lang w:val="fr-FR"/>
        </w:rPr>
        <w:t xml:space="preserve"> des tentatives </w:t>
      </w:r>
      <w:r w:rsidRPr="00FE3F9B" w:rsidR="004A457E">
        <w:rPr>
          <w:snapToGrid w:val="0"/>
          <w:lang w:val="fr-FR"/>
        </w:rPr>
        <w:t xml:space="preserve">qui auraient été </w:t>
      </w:r>
      <w:r w:rsidRPr="00FE3F9B" w:rsidR="008E5345">
        <w:rPr>
          <w:snapToGrid w:val="0"/>
          <w:lang w:val="fr-FR"/>
        </w:rPr>
        <w:t>faites par celle-ci pour</w:t>
      </w:r>
      <w:r w:rsidRPr="00FE3F9B" w:rsidR="00B25B4B">
        <w:rPr>
          <w:snapToGrid w:val="0"/>
          <w:lang w:val="fr-FR"/>
        </w:rPr>
        <w:t xml:space="preserve"> tomber </w:t>
      </w:r>
      <w:r w:rsidRPr="00FE3F9B" w:rsidR="004A457E">
        <w:rPr>
          <w:snapToGrid w:val="0"/>
          <w:lang w:val="fr-FR"/>
        </w:rPr>
        <w:t>au sol</w:t>
      </w:r>
      <w:r w:rsidRPr="00FE3F9B" w:rsidR="00B25B4B">
        <w:rPr>
          <w:snapToGrid w:val="0"/>
          <w:lang w:val="fr-FR"/>
        </w:rPr>
        <w:t xml:space="preserve">. </w:t>
      </w:r>
      <w:r w:rsidRPr="00FE3F9B" w:rsidR="00AD5D7C">
        <w:rPr>
          <w:snapToGrid w:val="0"/>
          <w:lang w:val="fr-FR"/>
        </w:rPr>
        <w:t>Enfin, le Gouvernement estime qu</w:t>
      </w:r>
      <w:r w:rsidRPr="00FE3F9B" w:rsidR="00954A5F">
        <w:rPr>
          <w:snapToGrid w:val="0"/>
          <w:lang w:val="fr-FR"/>
        </w:rPr>
        <w:t xml:space="preserve">e, </w:t>
      </w:r>
      <w:r w:rsidRPr="00FE3F9B" w:rsidR="00AD5D7C">
        <w:rPr>
          <w:snapToGrid w:val="0"/>
          <w:lang w:val="fr-FR"/>
        </w:rPr>
        <w:t xml:space="preserve">en </w:t>
      </w:r>
      <w:r w:rsidRPr="00FE3F9B" w:rsidR="00954A5F">
        <w:rPr>
          <w:snapToGrid w:val="0"/>
          <w:lang w:val="fr-FR"/>
        </w:rPr>
        <w:t>l</w:t>
      </w:r>
      <w:r w:rsidRPr="00FE3F9B" w:rsidR="00FE3F9B">
        <w:rPr>
          <w:snapToGrid w:val="0"/>
          <w:lang w:val="fr-FR"/>
        </w:rPr>
        <w:t>’</w:t>
      </w:r>
      <w:r w:rsidRPr="00FE3F9B" w:rsidR="00AD5D7C">
        <w:rPr>
          <w:snapToGrid w:val="0"/>
          <w:lang w:val="fr-FR"/>
        </w:rPr>
        <w:t>absence de preuve d</w:t>
      </w:r>
      <w:r w:rsidRPr="00FE3F9B" w:rsidR="00FE3F9B">
        <w:rPr>
          <w:snapToGrid w:val="0"/>
          <w:lang w:val="fr-FR"/>
        </w:rPr>
        <w:t>’</w:t>
      </w:r>
      <w:r w:rsidRPr="00FE3F9B" w:rsidR="00AD5D7C">
        <w:rPr>
          <w:snapToGrid w:val="0"/>
          <w:lang w:val="fr-FR"/>
        </w:rPr>
        <w:t xml:space="preserve">insultes </w:t>
      </w:r>
      <w:r w:rsidRPr="00FE3F9B" w:rsidR="00954A5F">
        <w:rPr>
          <w:snapToGrid w:val="0"/>
          <w:lang w:val="fr-FR"/>
        </w:rPr>
        <w:t>proférées</w:t>
      </w:r>
      <w:r w:rsidRPr="00FE3F9B" w:rsidR="00AD5D7C">
        <w:rPr>
          <w:snapToGrid w:val="0"/>
          <w:lang w:val="fr-FR"/>
        </w:rPr>
        <w:t xml:space="preserve"> par</w:t>
      </w:r>
      <w:r w:rsidRPr="00FE3F9B" w:rsidR="00954A5F">
        <w:rPr>
          <w:snapToGrid w:val="0"/>
          <w:lang w:val="fr-FR"/>
        </w:rPr>
        <w:t xml:space="preserve"> l</w:t>
      </w:r>
      <w:r w:rsidRPr="00FE3F9B" w:rsidR="00AD5D7C">
        <w:rPr>
          <w:snapToGrid w:val="0"/>
          <w:lang w:val="fr-FR"/>
        </w:rPr>
        <w:t>es policiers à l</w:t>
      </w:r>
      <w:r w:rsidRPr="00FE3F9B" w:rsidR="00FE3F9B">
        <w:rPr>
          <w:snapToGrid w:val="0"/>
          <w:lang w:val="fr-FR"/>
        </w:rPr>
        <w:t>’</w:t>
      </w:r>
      <w:r w:rsidRPr="00FE3F9B" w:rsidR="00AD5D7C">
        <w:rPr>
          <w:snapToGrid w:val="0"/>
          <w:lang w:val="fr-FR"/>
        </w:rPr>
        <w:t xml:space="preserve">égard de la requérante, le traitement infligé à cette dernière, à savoir </w:t>
      </w:r>
      <w:r w:rsidRPr="00FE3F9B" w:rsidR="00BC21FD">
        <w:rPr>
          <w:snapToGrid w:val="0"/>
          <w:lang w:val="fr-FR"/>
        </w:rPr>
        <w:t xml:space="preserve">le fait </w:t>
      </w:r>
      <w:r w:rsidRPr="00FE3F9B" w:rsidR="003B58AA">
        <w:rPr>
          <w:snapToGrid w:val="0"/>
          <w:lang w:val="fr-FR"/>
        </w:rPr>
        <w:t xml:space="preserve">pour celle-ci </w:t>
      </w:r>
      <w:r w:rsidRPr="00FE3F9B" w:rsidR="00BC21FD">
        <w:rPr>
          <w:snapToGrid w:val="0"/>
          <w:lang w:val="fr-FR"/>
        </w:rPr>
        <w:t>d</w:t>
      </w:r>
      <w:r w:rsidRPr="00FE3F9B" w:rsidR="00FE3F9B">
        <w:rPr>
          <w:snapToGrid w:val="0"/>
          <w:lang w:val="fr-FR"/>
        </w:rPr>
        <w:t>’</w:t>
      </w:r>
      <w:r w:rsidRPr="00FE3F9B" w:rsidR="00BC21FD">
        <w:rPr>
          <w:snapToGrid w:val="0"/>
          <w:lang w:val="fr-FR"/>
        </w:rPr>
        <w:t xml:space="preserve">avoir </w:t>
      </w:r>
      <w:r w:rsidRPr="00FE3F9B" w:rsidR="003B58AA">
        <w:rPr>
          <w:snapToGrid w:val="0"/>
          <w:lang w:val="fr-FR"/>
        </w:rPr>
        <w:t xml:space="preserve">été </w:t>
      </w:r>
      <w:r w:rsidRPr="00FE3F9B" w:rsidR="00BC21FD">
        <w:rPr>
          <w:snapToGrid w:val="0"/>
          <w:lang w:val="fr-FR"/>
        </w:rPr>
        <w:t>saisi</w:t>
      </w:r>
      <w:r w:rsidRPr="00FE3F9B" w:rsidR="003B58AA">
        <w:rPr>
          <w:snapToGrid w:val="0"/>
          <w:lang w:val="fr-FR"/>
        </w:rPr>
        <w:t>e</w:t>
      </w:r>
      <w:r w:rsidRPr="00FE3F9B" w:rsidR="00BC21FD">
        <w:rPr>
          <w:snapToGrid w:val="0"/>
          <w:lang w:val="fr-FR"/>
        </w:rPr>
        <w:t xml:space="preserve"> par les bras</w:t>
      </w:r>
      <w:r w:rsidRPr="00FE3F9B" w:rsidR="00AD5D7C">
        <w:rPr>
          <w:snapToGrid w:val="0"/>
          <w:lang w:val="fr-FR"/>
        </w:rPr>
        <w:t>, n</w:t>
      </w:r>
      <w:r w:rsidRPr="00FE3F9B" w:rsidR="00FE3F9B">
        <w:rPr>
          <w:snapToGrid w:val="0"/>
          <w:lang w:val="fr-FR"/>
        </w:rPr>
        <w:t>’</w:t>
      </w:r>
      <w:r w:rsidRPr="00FE3F9B" w:rsidR="00AD5D7C">
        <w:rPr>
          <w:snapToGrid w:val="0"/>
          <w:lang w:val="fr-FR"/>
        </w:rPr>
        <w:t>a pas atteint le seuil de gravité requis par l</w:t>
      </w:r>
      <w:r w:rsidRPr="00FE3F9B" w:rsidR="00FE3F9B">
        <w:rPr>
          <w:snapToGrid w:val="0"/>
          <w:lang w:val="fr-FR"/>
        </w:rPr>
        <w:t>’</w:t>
      </w:r>
      <w:r w:rsidRPr="00FE3F9B" w:rsidR="00AD5D7C">
        <w:rPr>
          <w:snapToGrid w:val="0"/>
          <w:lang w:val="fr-FR"/>
        </w:rPr>
        <w:t>article 3 de la Convention pour constituer un traitement i</w:t>
      </w:r>
      <w:r w:rsidRPr="00FE3F9B" w:rsidR="006632A3">
        <w:rPr>
          <w:snapToGrid w:val="0"/>
          <w:lang w:val="fr-FR"/>
        </w:rPr>
        <w:t>nhumain ou dégradant.</w:t>
      </w:r>
    </w:p>
    <w:p w:rsidRPr="00FE3F9B" w:rsidR="00953EE7" w:rsidP="00FE3F9B" w:rsidRDefault="006632A3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34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En ce qui concerne l</w:t>
      </w:r>
      <w:r w:rsidRPr="00FE3F9B" w:rsidR="00FE3F9B">
        <w:rPr>
          <w:lang w:val="fr-FR"/>
        </w:rPr>
        <w:t>’</w:t>
      </w:r>
      <w:r w:rsidRPr="00FE3F9B" w:rsidR="00140E6F">
        <w:rPr>
          <w:lang w:val="fr-FR"/>
        </w:rPr>
        <w:t>enquête relative aux allégations de mauvais traitements, le Gouvernement considère qu</w:t>
      </w:r>
      <w:r w:rsidRPr="00FE3F9B" w:rsidR="00FE3F9B">
        <w:rPr>
          <w:lang w:val="fr-FR"/>
        </w:rPr>
        <w:t>’</w:t>
      </w:r>
      <w:r w:rsidRPr="00FE3F9B" w:rsidR="00140E6F">
        <w:rPr>
          <w:lang w:val="fr-FR"/>
        </w:rPr>
        <w:t xml:space="preserve">elle </w:t>
      </w:r>
      <w:r w:rsidRPr="00FE3F9B">
        <w:rPr>
          <w:lang w:val="fr-FR"/>
        </w:rPr>
        <w:t>a</w:t>
      </w:r>
      <w:r w:rsidRPr="00FE3F9B" w:rsidR="00140E6F">
        <w:rPr>
          <w:lang w:val="fr-FR"/>
        </w:rPr>
        <w:t xml:space="preserve"> présenté l</w:t>
      </w:r>
      <w:r w:rsidRPr="00FE3F9B" w:rsidR="00FE3F9B">
        <w:rPr>
          <w:lang w:val="fr-FR"/>
        </w:rPr>
        <w:t>’</w:t>
      </w:r>
      <w:r w:rsidRPr="00FE3F9B" w:rsidR="00140E6F">
        <w:rPr>
          <w:lang w:val="fr-FR"/>
        </w:rPr>
        <w:t>effectivité requise.</w:t>
      </w:r>
      <w:r w:rsidRPr="00FE3F9B">
        <w:rPr>
          <w:lang w:val="fr-FR"/>
        </w:rPr>
        <w:t xml:space="preserve"> Il </w:t>
      </w:r>
      <w:r w:rsidRPr="00FE3F9B" w:rsidR="009A1BB5">
        <w:rPr>
          <w:lang w:val="fr-FR"/>
        </w:rPr>
        <w:t>indique</w:t>
      </w:r>
      <w:r w:rsidRPr="00FE3F9B">
        <w:rPr>
          <w:lang w:val="fr-FR"/>
        </w:rPr>
        <w:t xml:space="preserve"> notamment que </w:t>
      </w:r>
      <w:r w:rsidRPr="00FE3F9B" w:rsidR="009A1BB5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 w:rsidR="009A1BB5">
        <w:rPr>
          <w:lang w:val="fr-FR"/>
        </w:rPr>
        <w:t>expertise médicolégale de la requérante a été ordonné</w:t>
      </w:r>
      <w:r w:rsidRPr="00FE3F9B" w:rsidR="004006EE">
        <w:rPr>
          <w:lang w:val="fr-FR"/>
        </w:rPr>
        <w:t>e</w:t>
      </w:r>
      <w:r w:rsidRPr="00FE3F9B" w:rsidR="009A1BB5">
        <w:rPr>
          <w:lang w:val="fr-FR"/>
        </w:rPr>
        <w:t xml:space="preserve"> </w:t>
      </w:r>
      <w:r w:rsidRPr="00FE3F9B">
        <w:rPr>
          <w:lang w:val="fr-FR"/>
        </w:rPr>
        <w:t>le</w:t>
      </w:r>
      <w:r w:rsidRPr="00FE3F9B" w:rsidR="009A1BB5">
        <w:rPr>
          <w:lang w:val="fr-FR"/>
        </w:rPr>
        <w:t xml:space="preserve"> 8 novembre 2001, soit </w:t>
      </w:r>
      <w:r w:rsidRPr="00FE3F9B">
        <w:rPr>
          <w:lang w:val="fr-FR"/>
        </w:rPr>
        <w:t xml:space="preserve">le jour du dépôt de plainte par </w:t>
      </w:r>
      <w:r w:rsidRPr="00FE3F9B" w:rsidR="009A1BB5">
        <w:rPr>
          <w:lang w:val="fr-FR"/>
        </w:rPr>
        <w:t>cette dernière</w:t>
      </w:r>
      <w:r w:rsidRPr="00FE3F9B">
        <w:rPr>
          <w:lang w:val="fr-FR"/>
        </w:rPr>
        <w:t xml:space="preserve">, </w:t>
      </w:r>
      <w:r w:rsidRPr="00FE3F9B" w:rsidR="009A1BB5">
        <w:rPr>
          <w:lang w:val="fr-FR"/>
        </w:rPr>
        <w:t xml:space="preserve">et que durant </w:t>
      </w:r>
      <w:r w:rsidRPr="00FE3F9B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enquête</w:t>
      </w:r>
      <w:r w:rsidRPr="00FE3F9B" w:rsidR="009A1BB5">
        <w:rPr>
          <w:lang w:val="fr-FR"/>
        </w:rPr>
        <w:t xml:space="preserve"> préliminaire les autorités chargées de l</w:t>
      </w:r>
      <w:r w:rsidRPr="00FE3F9B" w:rsidR="00FE3F9B">
        <w:rPr>
          <w:lang w:val="fr-FR"/>
        </w:rPr>
        <w:t>’</w:t>
      </w:r>
      <w:r w:rsidRPr="00FE3F9B" w:rsidR="009A1BB5">
        <w:rPr>
          <w:lang w:val="fr-FR"/>
        </w:rPr>
        <w:t xml:space="preserve">instruction ont entendu plusieurs personnes </w:t>
      </w:r>
      <w:r w:rsidRPr="00FE3F9B" w:rsidR="000F6033">
        <w:rPr>
          <w:lang w:val="fr-FR"/>
        </w:rPr>
        <w:t>et ont</w:t>
      </w:r>
      <w:r w:rsidRPr="00FE3F9B" w:rsidR="009A1BB5">
        <w:rPr>
          <w:lang w:val="fr-FR"/>
        </w:rPr>
        <w:t xml:space="preserve"> effectué </w:t>
      </w:r>
      <w:r w:rsidRPr="00FE3F9B" w:rsidR="00485E9B">
        <w:rPr>
          <w:lang w:val="fr-FR"/>
        </w:rPr>
        <w:t>des</w:t>
      </w:r>
      <w:r w:rsidRPr="00FE3F9B" w:rsidR="009A1BB5">
        <w:rPr>
          <w:lang w:val="fr-FR"/>
        </w:rPr>
        <w:t xml:space="preserve"> </w:t>
      </w:r>
      <w:r w:rsidRPr="00FE3F9B" w:rsidR="00485E9B">
        <w:rPr>
          <w:lang w:val="fr-FR"/>
        </w:rPr>
        <w:t>inspections du lieu de l</w:t>
      </w:r>
      <w:r w:rsidRPr="00FE3F9B" w:rsidR="00FE3F9B">
        <w:rPr>
          <w:lang w:val="fr-FR"/>
        </w:rPr>
        <w:t>’</w:t>
      </w:r>
      <w:r w:rsidRPr="00FE3F9B" w:rsidR="00485E9B">
        <w:rPr>
          <w:lang w:val="fr-FR"/>
        </w:rPr>
        <w:t xml:space="preserve">incident. </w:t>
      </w:r>
      <w:r w:rsidRPr="00FE3F9B" w:rsidR="00555C05">
        <w:rPr>
          <w:lang w:val="fr-FR"/>
        </w:rPr>
        <w:t>Le Gouvernement ajoute ensuite que la conduite de l</w:t>
      </w:r>
      <w:r w:rsidRPr="00FE3F9B" w:rsidR="00FE3F9B">
        <w:rPr>
          <w:lang w:val="fr-FR"/>
        </w:rPr>
        <w:t>’</w:t>
      </w:r>
      <w:r w:rsidRPr="00FE3F9B" w:rsidR="00555C05">
        <w:rPr>
          <w:lang w:val="fr-FR"/>
        </w:rPr>
        <w:t>enquête préliminaire sur la base de l</w:t>
      </w:r>
      <w:r w:rsidRPr="00FE3F9B" w:rsidR="00FE3F9B">
        <w:rPr>
          <w:lang w:val="fr-FR"/>
        </w:rPr>
        <w:t>’</w:t>
      </w:r>
      <w:r w:rsidRPr="00FE3F9B" w:rsidR="00555C05">
        <w:rPr>
          <w:lang w:val="fr-FR"/>
        </w:rPr>
        <w:t>article 144 du CPP ne peut pas être considérée en soi comme contraire à l</w:t>
      </w:r>
      <w:r w:rsidRPr="00FE3F9B" w:rsidR="00FE3F9B">
        <w:rPr>
          <w:lang w:val="fr-FR"/>
        </w:rPr>
        <w:t>’</w:t>
      </w:r>
      <w:r w:rsidRPr="00FE3F9B" w:rsidR="00555C05">
        <w:rPr>
          <w:lang w:val="fr-FR"/>
        </w:rPr>
        <w:t>obligation procédurale découlant de l</w:t>
      </w:r>
      <w:r w:rsidRPr="00FE3F9B" w:rsidR="00FE3F9B">
        <w:rPr>
          <w:lang w:val="fr-FR"/>
        </w:rPr>
        <w:t>’</w:t>
      </w:r>
      <w:r w:rsidRPr="00FE3F9B" w:rsidR="00555C05">
        <w:rPr>
          <w:lang w:val="fr-FR"/>
        </w:rPr>
        <w:t>article 3 de la Convention.</w:t>
      </w:r>
    </w:p>
    <w:p w:rsidRPr="00FE3F9B" w:rsidR="00140E6F" w:rsidP="00FE3F9B" w:rsidRDefault="00140E6F">
      <w:pPr>
        <w:pStyle w:val="ECHRHeading3"/>
        <w:rPr>
          <w:lang w:val="fr-FR"/>
        </w:rPr>
      </w:pPr>
      <w:r w:rsidRPr="00FE3F9B">
        <w:rPr>
          <w:lang w:val="fr-FR"/>
        </w:rPr>
        <w:t>2.  L</w:t>
      </w:r>
      <w:r w:rsidRPr="00FE3F9B" w:rsidR="00157962">
        <w:rPr>
          <w:lang w:val="fr-FR"/>
        </w:rPr>
        <w:t>a</w:t>
      </w:r>
      <w:r w:rsidRPr="00FE3F9B">
        <w:rPr>
          <w:lang w:val="fr-FR"/>
        </w:rPr>
        <w:t xml:space="preserve"> requérant</w:t>
      </w:r>
      <w:r w:rsidRPr="00FE3F9B" w:rsidR="00157962">
        <w:rPr>
          <w:lang w:val="fr-FR"/>
        </w:rPr>
        <w:t>e</w:t>
      </w:r>
    </w:p>
    <w:p w:rsidRPr="00FE3F9B" w:rsidR="00953EE7" w:rsidP="00FE3F9B" w:rsidRDefault="00140E6F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35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L</w:t>
      </w:r>
      <w:r w:rsidRPr="00FE3F9B" w:rsidR="00157962">
        <w:rPr>
          <w:lang w:val="fr-FR"/>
        </w:rPr>
        <w:t>a</w:t>
      </w:r>
      <w:r w:rsidRPr="00FE3F9B">
        <w:rPr>
          <w:lang w:val="fr-FR"/>
        </w:rPr>
        <w:t xml:space="preserve"> requérant</w:t>
      </w:r>
      <w:r w:rsidRPr="00FE3F9B" w:rsidR="00F92C07">
        <w:rPr>
          <w:lang w:val="fr-FR"/>
        </w:rPr>
        <w:t>e</w:t>
      </w:r>
      <w:r w:rsidRPr="00FE3F9B">
        <w:rPr>
          <w:lang w:val="fr-FR"/>
        </w:rPr>
        <w:t xml:space="preserve"> maintient son grief. Dans ses observations en réplique, </w:t>
      </w:r>
      <w:r w:rsidRPr="00FE3F9B" w:rsidR="00F92C07">
        <w:rPr>
          <w:lang w:val="fr-FR"/>
        </w:rPr>
        <w:t>elle</w:t>
      </w:r>
      <w:r w:rsidRPr="00FE3F9B">
        <w:rPr>
          <w:lang w:val="fr-FR"/>
        </w:rPr>
        <w:t xml:space="preserve"> remet en cause</w:t>
      </w:r>
      <w:r w:rsidRPr="00FE3F9B" w:rsidR="000F6033">
        <w:rPr>
          <w:lang w:val="fr-FR"/>
        </w:rPr>
        <w:t xml:space="preserve"> tant</w:t>
      </w:r>
      <w:r w:rsidRPr="00FE3F9B">
        <w:rPr>
          <w:lang w:val="fr-FR"/>
        </w:rPr>
        <w:t xml:space="preserve"> les conclusions du Gouvernement que </w:t>
      </w:r>
      <w:r w:rsidRPr="00FE3F9B" w:rsidR="000F6033">
        <w:rPr>
          <w:lang w:val="fr-FR"/>
        </w:rPr>
        <w:t xml:space="preserve">celles </w:t>
      </w:r>
      <w:r w:rsidRPr="00FE3F9B">
        <w:rPr>
          <w:lang w:val="fr-FR"/>
        </w:rPr>
        <w:t>des autorités chargées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instruction selon lesquelles </w:t>
      </w:r>
      <w:r w:rsidRPr="00FE3F9B" w:rsidR="00F92C07">
        <w:rPr>
          <w:lang w:val="fr-FR"/>
        </w:rPr>
        <w:t>elle</w:t>
      </w:r>
      <w:r w:rsidRPr="00FE3F9B">
        <w:rPr>
          <w:lang w:val="fr-FR"/>
        </w:rPr>
        <w:t xml:space="preserve"> n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 pas fait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objet de mauvais traitements. </w:t>
      </w:r>
      <w:r w:rsidRPr="00FE3F9B" w:rsidR="000F6033">
        <w:rPr>
          <w:lang w:val="fr-FR"/>
        </w:rPr>
        <w:t>Elle</w:t>
      </w:r>
      <w:r w:rsidRPr="00FE3F9B">
        <w:rPr>
          <w:lang w:val="fr-FR"/>
        </w:rPr>
        <w:t xml:space="preserve"> soumet à cet égard une analyse détaillée des contradictions ou des inc</w:t>
      </w:r>
      <w:r w:rsidRPr="00FE3F9B" w:rsidR="00454C1E">
        <w:rPr>
          <w:lang w:val="fr-FR"/>
        </w:rPr>
        <w:t xml:space="preserve">ohérences qui existent </w:t>
      </w:r>
      <w:r w:rsidRPr="00FE3F9B" w:rsidR="00AF4A40">
        <w:rPr>
          <w:lang w:val="fr-FR"/>
        </w:rPr>
        <w:t xml:space="preserve">selon elle </w:t>
      </w:r>
      <w:r w:rsidRPr="00FE3F9B">
        <w:rPr>
          <w:lang w:val="fr-FR"/>
        </w:rPr>
        <w:t xml:space="preserve">entre les </w:t>
      </w:r>
      <w:r w:rsidRPr="00FE3F9B" w:rsidR="00EF6FED">
        <w:rPr>
          <w:lang w:val="fr-FR"/>
        </w:rPr>
        <w:t>explications</w:t>
      </w:r>
      <w:r w:rsidRPr="00FE3F9B">
        <w:rPr>
          <w:lang w:val="fr-FR"/>
        </w:rPr>
        <w:t xml:space="preserve"> des différentes personnes entendues</w:t>
      </w:r>
      <w:r w:rsidRPr="00FE3F9B" w:rsidR="00AF4A40">
        <w:rPr>
          <w:lang w:val="fr-FR"/>
        </w:rPr>
        <w:t>,</w:t>
      </w:r>
      <w:r w:rsidRPr="00FE3F9B">
        <w:rPr>
          <w:lang w:val="fr-FR"/>
        </w:rPr>
        <w:t xml:space="preserve"> en se basant sur les éléments versés au dossier.</w:t>
      </w:r>
    </w:p>
    <w:p w:rsidRPr="00FE3F9B" w:rsidR="00953EE7" w:rsidP="00FE3F9B" w:rsidRDefault="00893FA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36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</w:t>
      </w:r>
      <w:r w:rsidRPr="00FE3F9B" w:rsidR="0076078C">
        <w:rPr>
          <w:lang w:val="fr-FR"/>
        </w:rPr>
        <w:t xml:space="preserve">Notamment, </w:t>
      </w:r>
      <w:r w:rsidRPr="00FE3F9B" w:rsidR="000F6033">
        <w:rPr>
          <w:lang w:val="fr-FR"/>
        </w:rPr>
        <w:t>pour autant que</w:t>
      </w:r>
      <w:r w:rsidRPr="00FE3F9B" w:rsidR="0076078C">
        <w:rPr>
          <w:lang w:val="fr-FR"/>
        </w:rPr>
        <w:t xml:space="preserve"> le Gouvernement affirme que </w:t>
      </w:r>
      <w:r w:rsidRPr="00FE3F9B" w:rsidR="00F92C07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 w:rsidR="00F92C07">
        <w:rPr>
          <w:lang w:val="fr-FR"/>
        </w:rPr>
        <w:t xml:space="preserve">utilisation de la force envers </w:t>
      </w:r>
      <w:r w:rsidRPr="00FE3F9B" w:rsidR="0076078C">
        <w:rPr>
          <w:lang w:val="fr-FR"/>
        </w:rPr>
        <w:t>elle</w:t>
      </w:r>
      <w:r w:rsidRPr="00FE3F9B" w:rsidR="00F92C07">
        <w:rPr>
          <w:lang w:val="fr-FR"/>
        </w:rPr>
        <w:t xml:space="preserve"> était possible </w:t>
      </w:r>
      <w:r w:rsidRPr="00FE3F9B" w:rsidR="000F6033">
        <w:rPr>
          <w:lang w:val="fr-FR"/>
        </w:rPr>
        <w:t xml:space="preserve">eu égard à </w:t>
      </w:r>
      <w:r w:rsidRPr="00FE3F9B" w:rsidR="0076078C">
        <w:rPr>
          <w:lang w:val="fr-FR"/>
        </w:rPr>
        <w:t>son</w:t>
      </w:r>
      <w:r w:rsidRPr="00FE3F9B" w:rsidR="00F92C07">
        <w:rPr>
          <w:lang w:val="fr-FR"/>
        </w:rPr>
        <w:t xml:space="preserve"> comportement</w:t>
      </w:r>
      <w:r w:rsidRPr="00FE3F9B" w:rsidR="000F6033">
        <w:rPr>
          <w:lang w:val="fr-FR"/>
        </w:rPr>
        <w:t>, qui aurait été</w:t>
      </w:r>
      <w:r w:rsidRPr="00FE3F9B" w:rsidR="00F92C07">
        <w:rPr>
          <w:lang w:val="fr-FR"/>
        </w:rPr>
        <w:t xml:space="preserve"> </w:t>
      </w:r>
      <w:r w:rsidRPr="00FE3F9B" w:rsidR="0076078C">
        <w:rPr>
          <w:lang w:val="fr-FR"/>
        </w:rPr>
        <w:t xml:space="preserve">illicite </w:t>
      </w:r>
      <w:r w:rsidRPr="00FE3F9B" w:rsidR="000F6033">
        <w:rPr>
          <w:lang w:val="fr-FR"/>
        </w:rPr>
        <w:t>et</w:t>
      </w:r>
      <w:r w:rsidRPr="00FE3F9B" w:rsidR="0076078C">
        <w:rPr>
          <w:lang w:val="fr-FR"/>
        </w:rPr>
        <w:t xml:space="preserve"> aurait constitué une infraction </w:t>
      </w:r>
      <w:r w:rsidRPr="00FE3F9B" w:rsidR="00994964">
        <w:rPr>
          <w:lang w:val="fr-FR"/>
        </w:rPr>
        <w:t>au sens de</w:t>
      </w:r>
      <w:r w:rsidRPr="00FE3F9B" w:rsidR="0076078C">
        <w:rPr>
          <w:lang w:val="fr-FR"/>
        </w:rPr>
        <w:t xml:space="preserve"> l</w:t>
      </w:r>
      <w:r w:rsidRPr="00FE3F9B" w:rsidR="00FE3F9B">
        <w:rPr>
          <w:lang w:val="fr-FR"/>
        </w:rPr>
        <w:t>’</w:t>
      </w:r>
      <w:r w:rsidRPr="00FE3F9B" w:rsidR="0076078C">
        <w:rPr>
          <w:lang w:val="fr-FR"/>
        </w:rPr>
        <w:t>article 319 du CP, la requérante indique qu</w:t>
      </w:r>
      <w:r w:rsidRPr="00FE3F9B" w:rsidR="00FE3F9B">
        <w:rPr>
          <w:lang w:val="fr-FR"/>
        </w:rPr>
        <w:t>’</w:t>
      </w:r>
      <w:r w:rsidRPr="00FE3F9B" w:rsidR="0076078C">
        <w:rPr>
          <w:lang w:val="fr-FR"/>
        </w:rPr>
        <w:t>elle n</w:t>
      </w:r>
      <w:r w:rsidRPr="00FE3F9B" w:rsidR="00FE3F9B">
        <w:rPr>
          <w:lang w:val="fr-FR"/>
        </w:rPr>
        <w:t>’</w:t>
      </w:r>
      <w:r w:rsidRPr="00FE3F9B" w:rsidR="0076078C">
        <w:rPr>
          <w:lang w:val="fr-FR"/>
        </w:rPr>
        <w:t>a pas été poursuivie pénalement faute de preuves d</w:t>
      </w:r>
      <w:r w:rsidRPr="00FE3F9B" w:rsidR="00FE3F9B">
        <w:rPr>
          <w:lang w:val="fr-FR"/>
        </w:rPr>
        <w:t>’</w:t>
      </w:r>
      <w:r w:rsidRPr="00FE3F9B" w:rsidR="0076078C">
        <w:rPr>
          <w:lang w:val="fr-FR"/>
        </w:rPr>
        <w:t>un tel comportement. Elle en déduit que les policiers P. et T. n</w:t>
      </w:r>
      <w:r w:rsidRPr="00FE3F9B" w:rsidR="00FE3F9B">
        <w:rPr>
          <w:lang w:val="fr-FR"/>
        </w:rPr>
        <w:t>’</w:t>
      </w:r>
      <w:r w:rsidRPr="00FE3F9B" w:rsidR="0076078C">
        <w:rPr>
          <w:lang w:val="fr-FR"/>
        </w:rPr>
        <w:t>avaient aucun motif légal d</w:t>
      </w:r>
      <w:r w:rsidRPr="00FE3F9B" w:rsidR="00FE3F9B">
        <w:rPr>
          <w:lang w:val="fr-FR"/>
        </w:rPr>
        <w:t>’</w:t>
      </w:r>
      <w:r w:rsidRPr="00FE3F9B" w:rsidR="0076078C">
        <w:rPr>
          <w:lang w:val="fr-FR"/>
        </w:rPr>
        <w:t>utiliser la force à son égard et que pareil recours était donc disproportionné.</w:t>
      </w:r>
    </w:p>
    <w:p w:rsidRPr="00FE3F9B" w:rsidR="00953EE7" w:rsidP="00FE3F9B" w:rsidRDefault="00893FA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37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</w:t>
      </w:r>
      <w:r w:rsidRPr="00FE3F9B" w:rsidR="00C35969">
        <w:rPr>
          <w:lang w:val="fr-FR"/>
        </w:rPr>
        <w:t>L</w:t>
      </w:r>
      <w:r w:rsidRPr="00FE3F9B" w:rsidR="00195600">
        <w:rPr>
          <w:lang w:val="fr-FR"/>
        </w:rPr>
        <w:t xml:space="preserve">a requérante affirme </w:t>
      </w:r>
      <w:r w:rsidRPr="00FE3F9B" w:rsidR="00C35969">
        <w:rPr>
          <w:lang w:val="fr-FR"/>
        </w:rPr>
        <w:t xml:space="preserve">ensuite </w:t>
      </w:r>
      <w:r w:rsidRPr="00FE3F9B" w:rsidR="00195600">
        <w:rPr>
          <w:lang w:val="fr-FR"/>
        </w:rPr>
        <w:t>qu</w:t>
      </w:r>
      <w:r w:rsidRPr="00FE3F9B" w:rsidR="00FE3F9B">
        <w:rPr>
          <w:lang w:val="fr-FR"/>
        </w:rPr>
        <w:t>’</w:t>
      </w:r>
      <w:r w:rsidRPr="00FE3F9B" w:rsidR="00195600">
        <w:rPr>
          <w:lang w:val="fr-FR"/>
        </w:rPr>
        <w:t>il n</w:t>
      </w:r>
      <w:r w:rsidRPr="00FE3F9B" w:rsidR="00FE3F9B">
        <w:rPr>
          <w:lang w:val="fr-FR"/>
        </w:rPr>
        <w:t>’</w:t>
      </w:r>
      <w:r w:rsidRPr="00FE3F9B" w:rsidR="00195600">
        <w:rPr>
          <w:lang w:val="fr-FR"/>
        </w:rPr>
        <w:t>y a pas de contradiction</w:t>
      </w:r>
      <w:r w:rsidRPr="00FE3F9B" w:rsidR="00C35969">
        <w:rPr>
          <w:lang w:val="fr-FR"/>
        </w:rPr>
        <w:t>s</w:t>
      </w:r>
      <w:r w:rsidRPr="00FE3F9B" w:rsidR="00195600">
        <w:rPr>
          <w:lang w:val="fr-FR"/>
        </w:rPr>
        <w:t xml:space="preserve"> </w:t>
      </w:r>
      <w:r w:rsidRPr="00FE3F9B" w:rsidR="00C35969">
        <w:rPr>
          <w:lang w:val="fr-FR"/>
        </w:rPr>
        <w:t>entre l</w:t>
      </w:r>
      <w:r w:rsidRPr="00FE3F9B" w:rsidR="00FE3F9B">
        <w:rPr>
          <w:lang w:val="fr-FR"/>
        </w:rPr>
        <w:t>’</w:t>
      </w:r>
      <w:r w:rsidRPr="00FE3F9B" w:rsidR="00C35969">
        <w:rPr>
          <w:lang w:val="fr-FR"/>
        </w:rPr>
        <w:t xml:space="preserve">attestation médicale du 6 novembre 2001 et le rapport du médecin légiste du 19 novembre 2001 en ce qui concerne la description des lésions subies par </w:t>
      </w:r>
      <w:r w:rsidRPr="00FE3F9B" w:rsidR="00994964">
        <w:rPr>
          <w:lang w:val="fr-FR"/>
        </w:rPr>
        <w:t>elle</w:t>
      </w:r>
      <w:r w:rsidRPr="00FE3F9B" w:rsidR="00C35969">
        <w:rPr>
          <w:lang w:val="fr-FR"/>
        </w:rPr>
        <w:t xml:space="preserve">, </w:t>
      </w:r>
      <w:r w:rsidRPr="00FE3F9B" w:rsidR="00E71EBE">
        <w:rPr>
          <w:lang w:val="fr-FR"/>
        </w:rPr>
        <w:t xml:space="preserve">au motif </w:t>
      </w:r>
      <w:r w:rsidRPr="00FE3F9B" w:rsidR="00C35969">
        <w:rPr>
          <w:lang w:val="fr-FR"/>
        </w:rPr>
        <w:t>que ledit rapport a</w:t>
      </w:r>
      <w:r w:rsidRPr="00FE3F9B" w:rsidR="00994964">
        <w:rPr>
          <w:lang w:val="fr-FR"/>
        </w:rPr>
        <w:t xml:space="preserve">vait englobé le diagnostic </w:t>
      </w:r>
      <w:r w:rsidRPr="00FE3F9B" w:rsidR="00E71EBE">
        <w:rPr>
          <w:lang w:val="fr-FR"/>
        </w:rPr>
        <w:t>établi le</w:t>
      </w:r>
      <w:r w:rsidRPr="00FE3F9B" w:rsidR="00994964">
        <w:rPr>
          <w:lang w:val="fr-FR"/>
        </w:rPr>
        <w:t xml:space="preserve"> 6 </w:t>
      </w:r>
      <w:r w:rsidRPr="00FE3F9B" w:rsidR="00C35969">
        <w:rPr>
          <w:lang w:val="fr-FR"/>
        </w:rPr>
        <w:t xml:space="preserve">novembre 2001 dans ses conclusions. </w:t>
      </w:r>
      <w:r w:rsidRPr="00FE3F9B">
        <w:rPr>
          <w:lang w:val="fr-FR"/>
        </w:rPr>
        <w:t>Quant à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argument du </w:t>
      </w:r>
      <w:r w:rsidRPr="00FE3F9B" w:rsidR="004D0812">
        <w:rPr>
          <w:lang w:val="fr-FR"/>
        </w:rPr>
        <w:t>g</w:t>
      </w:r>
      <w:r w:rsidRPr="00FE3F9B">
        <w:rPr>
          <w:lang w:val="fr-FR"/>
        </w:rPr>
        <w:t xml:space="preserve">ouvernement </w:t>
      </w:r>
      <w:r w:rsidRPr="00FE3F9B" w:rsidR="004D0812">
        <w:rPr>
          <w:lang w:val="fr-FR"/>
        </w:rPr>
        <w:t xml:space="preserve">défendeur </w:t>
      </w:r>
      <w:r w:rsidRPr="00FE3F9B">
        <w:rPr>
          <w:lang w:val="fr-FR"/>
        </w:rPr>
        <w:t>selon lequel la version des faits présenté</w:t>
      </w:r>
      <w:r w:rsidRPr="00FE3F9B" w:rsidR="00E71EBE">
        <w:rPr>
          <w:lang w:val="fr-FR"/>
        </w:rPr>
        <w:t>e</w:t>
      </w:r>
      <w:r w:rsidRPr="00FE3F9B">
        <w:rPr>
          <w:lang w:val="fr-FR"/>
        </w:rPr>
        <w:t xml:space="preserve"> par </w:t>
      </w:r>
      <w:r w:rsidRPr="00FE3F9B" w:rsidR="00E71EBE">
        <w:rPr>
          <w:lang w:val="fr-FR"/>
        </w:rPr>
        <w:t>elle</w:t>
      </w:r>
      <w:r w:rsidRPr="00FE3F9B">
        <w:rPr>
          <w:lang w:val="fr-FR"/>
        </w:rPr>
        <w:t xml:space="preserve"> manquait de cohérence et de clarté quant au nombre et au type de coups </w:t>
      </w:r>
      <w:r w:rsidRPr="00FE3F9B" w:rsidR="00AF4A40">
        <w:rPr>
          <w:lang w:val="fr-FR"/>
        </w:rPr>
        <w:t>que</w:t>
      </w:r>
      <w:r w:rsidRPr="00FE3F9B">
        <w:rPr>
          <w:lang w:val="fr-FR"/>
        </w:rPr>
        <w:t xml:space="preserve"> P. et T.</w:t>
      </w:r>
      <w:r w:rsidRPr="00FE3F9B" w:rsidR="00AF4A40">
        <w:rPr>
          <w:lang w:val="fr-FR"/>
        </w:rPr>
        <w:t xml:space="preserve"> lui auraient assénés</w:t>
      </w:r>
      <w:r w:rsidRPr="00FE3F9B">
        <w:rPr>
          <w:lang w:val="fr-FR"/>
        </w:rPr>
        <w:t xml:space="preserve">, elle soutient que </w:t>
      </w:r>
      <w:r w:rsidRPr="00FE3F9B" w:rsidR="00F1102A">
        <w:rPr>
          <w:lang w:val="fr-FR"/>
        </w:rPr>
        <w:t>la charge de la preuve pèse sur le</w:t>
      </w:r>
      <w:r w:rsidRPr="00FE3F9B" w:rsidR="004D0812">
        <w:rPr>
          <w:lang w:val="fr-FR"/>
        </w:rPr>
        <w:t>dit</w:t>
      </w:r>
      <w:r w:rsidRPr="00FE3F9B" w:rsidR="00F1102A">
        <w:rPr>
          <w:lang w:val="fr-FR"/>
        </w:rPr>
        <w:t xml:space="preserve"> </w:t>
      </w:r>
      <w:r w:rsidRPr="00FE3F9B" w:rsidR="00E71EBE">
        <w:rPr>
          <w:lang w:val="fr-FR"/>
        </w:rPr>
        <w:t>g</w:t>
      </w:r>
      <w:r w:rsidRPr="00FE3F9B" w:rsidR="00F1102A">
        <w:rPr>
          <w:lang w:val="fr-FR"/>
        </w:rPr>
        <w:t>ouvernement</w:t>
      </w:r>
      <w:r w:rsidRPr="00FE3F9B" w:rsidR="00E71EBE">
        <w:rPr>
          <w:lang w:val="fr-FR"/>
        </w:rPr>
        <w:t xml:space="preserve">, </w:t>
      </w:r>
      <w:r w:rsidRPr="00FE3F9B" w:rsidR="00AF4A40">
        <w:rPr>
          <w:lang w:val="fr-FR"/>
        </w:rPr>
        <w:t xml:space="preserve">lequel </w:t>
      </w:r>
      <w:r w:rsidRPr="00FE3F9B" w:rsidR="00F1102A">
        <w:rPr>
          <w:lang w:val="fr-FR"/>
        </w:rPr>
        <w:t>a</w:t>
      </w:r>
      <w:r w:rsidRPr="00FE3F9B" w:rsidR="00E71EBE">
        <w:rPr>
          <w:lang w:val="fr-FR"/>
        </w:rPr>
        <w:t>urait</w:t>
      </w:r>
      <w:r w:rsidRPr="00FE3F9B" w:rsidR="00F1102A">
        <w:rPr>
          <w:lang w:val="fr-FR"/>
        </w:rPr>
        <w:t xml:space="preserve"> </w:t>
      </w:r>
      <w:r w:rsidRPr="00FE3F9B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obligation de </w:t>
      </w:r>
      <w:r w:rsidRPr="00FE3F9B" w:rsidR="00F1102A">
        <w:rPr>
          <w:lang w:val="fr-FR"/>
        </w:rPr>
        <w:t>fournir une explication plausible de l</w:t>
      </w:r>
      <w:r w:rsidRPr="00FE3F9B" w:rsidR="00FE3F9B">
        <w:rPr>
          <w:lang w:val="fr-FR"/>
        </w:rPr>
        <w:t>’</w:t>
      </w:r>
      <w:r w:rsidRPr="00FE3F9B" w:rsidR="00F1102A">
        <w:rPr>
          <w:lang w:val="fr-FR"/>
        </w:rPr>
        <w:t>origine des lésions.</w:t>
      </w:r>
    </w:p>
    <w:p w:rsidRPr="00FE3F9B" w:rsidR="00140E6F" w:rsidP="00FE3F9B" w:rsidRDefault="00893FA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38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</w:t>
      </w:r>
      <w:r w:rsidRPr="00FE3F9B" w:rsidR="00E71EBE">
        <w:rPr>
          <w:lang w:val="fr-FR"/>
        </w:rPr>
        <w:t>La requérante</w:t>
      </w:r>
      <w:r w:rsidRPr="00FE3F9B" w:rsidR="0076078C">
        <w:rPr>
          <w:lang w:val="fr-FR"/>
        </w:rPr>
        <w:t xml:space="preserve"> </w:t>
      </w:r>
      <w:r w:rsidRPr="00FE3F9B" w:rsidR="00140E6F">
        <w:rPr>
          <w:lang w:val="fr-FR"/>
        </w:rPr>
        <w:t xml:space="preserve">soutient </w:t>
      </w:r>
      <w:r w:rsidRPr="00FE3F9B" w:rsidR="00454C1E">
        <w:rPr>
          <w:lang w:val="fr-FR"/>
        </w:rPr>
        <w:t>enfin que l</w:t>
      </w:r>
      <w:r w:rsidRPr="00FE3F9B" w:rsidR="00FE3F9B">
        <w:rPr>
          <w:lang w:val="fr-FR"/>
        </w:rPr>
        <w:t>’</w:t>
      </w:r>
      <w:r w:rsidRPr="00FE3F9B" w:rsidR="00140E6F">
        <w:rPr>
          <w:lang w:val="fr-FR"/>
        </w:rPr>
        <w:t>enquête menée à la suite de ses allégations de mauvais traitements n</w:t>
      </w:r>
      <w:r w:rsidRPr="00FE3F9B" w:rsidR="00FE3F9B">
        <w:rPr>
          <w:lang w:val="fr-FR"/>
        </w:rPr>
        <w:t>’</w:t>
      </w:r>
      <w:r w:rsidRPr="00FE3F9B" w:rsidR="00454C1E">
        <w:rPr>
          <w:lang w:val="fr-FR"/>
        </w:rPr>
        <w:t>a</w:t>
      </w:r>
      <w:r w:rsidRPr="00FE3F9B" w:rsidR="00140E6F">
        <w:rPr>
          <w:lang w:val="fr-FR"/>
        </w:rPr>
        <w:t xml:space="preserve"> pas été effective.</w:t>
      </w:r>
    </w:p>
    <w:p w:rsidRPr="00FE3F9B" w:rsidR="00454185" w:rsidP="00FE3F9B" w:rsidRDefault="00F96F45">
      <w:pPr>
        <w:pStyle w:val="ECHRHeading2"/>
        <w:rPr>
          <w:lang w:val="fr-FR"/>
        </w:rPr>
      </w:pPr>
      <w:r w:rsidRPr="00FE3F9B">
        <w:rPr>
          <w:lang w:val="fr-FR"/>
        </w:rPr>
        <w:t>B</w:t>
      </w:r>
      <w:r w:rsidRPr="00FE3F9B" w:rsidR="00E77CB3">
        <w:rPr>
          <w:lang w:val="fr-FR"/>
        </w:rPr>
        <w:t>.  </w:t>
      </w:r>
      <w:r w:rsidRPr="00FE3F9B" w:rsidR="00454185">
        <w:rPr>
          <w:lang w:val="fr-FR"/>
        </w:rPr>
        <w:t>Appréciation de la Cour</w:t>
      </w:r>
    </w:p>
    <w:p w:rsidRPr="00FE3F9B" w:rsidR="00E77CB3" w:rsidP="00FE3F9B" w:rsidRDefault="00454185">
      <w:pPr>
        <w:pStyle w:val="ECHRHeading3"/>
        <w:rPr>
          <w:lang w:val="fr-FR"/>
        </w:rPr>
      </w:pPr>
      <w:r w:rsidRPr="00FE3F9B">
        <w:rPr>
          <w:lang w:val="fr-FR"/>
        </w:rPr>
        <w:t>1.  </w:t>
      </w:r>
      <w:r w:rsidRPr="00FE3F9B" w:rsidR="00E77CB3">
        <w:rPr>
          <w:lang w:val="fr-FR"/>
        </w:rPr>
        <w:t>Sur la recevabilité</w:t>
      </w:r>
    </w:p>
    <w:p w:rsidRPr="00FE3F9B" w:rsidR="00E77CB3" w:rsidP="00FE3F9B" w:rsidRDefault="00584D9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39</w:t>
      </w:r>
      <w:r w:rsidRPr="00FE3F9B">
        <w:rPr>
          <w:lang w:val="fr-FR"/>
        </w:rPr>
        <w:fldChar w:fldCharType="end"/>
      </w:r>
      <w:r w:rsidRPr="00FE3F9B" w:rsidR="00E77CB3">
        <w:rPr>
          <w:lang w:val="fr-FR"/>
        </w:rPr>
        <w:t>.  </w:t>
      </w:r>
      <w:r w:rsidRPr="00FE3F9B" w:rsidR="002F5EFB">
        <w:rPr>
          <w:lang w:val="fr-FR"/>
        </w:rPr>
        <w:t xml:space="preserve">Constatant que </w:t>
      </w:r>
      <w:r w:rsidRPr="00FE3F9B" w:rsidR="002D40C9">
        <w:rPr>
          <w:lang w:val="fr-FR"/>
        </w:rPr>
        <w:t>c</w:t>
      </w:r>
      <w:r w:rsidRPr="00FE3F9B" w:rsidR="00454185">
        <w:rPr>
          <w:lang w:val="fr-FR"/>
        </w:rPr>
        <w:t xml:space="preserve">e </w:t>
      </w:r>
      <w:r w:rsidRPr="00FE3F9B" w:rsidR="002D40C9">
        <w:rPr>
          <w:lang w:val="fr-FR"/>
        </w:rPr>
        <w:t>grief</w:t>
      </w:r>
      <w:r w:rsidRPr="00FE3F9B" w:rsidR="002F5EFB">
        <w:rPr>
          <w:lang w:val="fr-FR"/>
        </w:rPr>
        <w:t xml:space="preserve"> </w:t>
      </w:r>
      <w:r w:rsidRPr="00FE3F9B" w:rsidR="00E77CB3">
        <w:rPr>
          <w:lang w:val="fr-FR"/>
        </w:rPr>
        <w:t>n</w:t>
      </w:r>
      <w:r w:rsidRPr="00FE3F9B" w:rsidR="00FE3F9B">
        <w:rPr>
          <w:lang w:val="fr-FR"/>
        </w:rPr>
        <w:t>’</w:t>
      </w:r>
      <w:r w:rsidRPr="00FE3F9B" w:rsidR="00E77CB3">
        <w:rPr>
          <w:lang w:val="fr-FR"/>
        </w:rPr>
        <w:t>est pas manifestement mal fondé au sens de l</w:t>
      </w:r>
      <w:r w:rsidRPr="00FE3F9B" w:rsidR="00FE3F9B">
        <w:rPr>
          <w:lang w:val="fr-FR"/>
        </w:rPr>
        <w:t>’</w:t>
      </w:r>
      <w:r w:rsidRPr="00FE3F9B" w:rsidR="00E77CB3">
        <w:rPr>
          <w:lang w:val="fr-FR"/>
        </w:rPr>
        <w:t>article 35 § 3 a) de la Convention</w:t>
      </w:r>
      <w:r w:rsidRPr="00FE3F9B" w:rsidR="00694A2E">
        <w:rPr>
          <w:lang w:val="fr-FR"/>
        </w:rPr>
        <w:t xml:space="preserve"> et qu</w:t>
      </w:r>
      <w:r w:rsidRPr="00FE3F9B" w:rsidR="00FE3F9B">
        <w:rPr>
          <w:lang w:val="fr-FR"/>
        </w:rPr>
        <w:t>’</w:t>
      </w:r>
      <w:r w:rsidRPr="00FE3F9B" w:rsidR="00454185">
        <w:rPr>
          <w:lang w:val="fr-FR"/>
        </w:rPr>
        <w:t>il</w:t>
      </w:r>
      <w:r w:rsidRPr="00FE3F9B" w:rsidR="00694A2E">
        <w:rPr>
          <w:lang w:val="fr-FR"/>
        </w:rPr>
        <w:t xml:space="preserve"> ne se heurte par ailleurs </w:t>
      </w:r>
      <w:r w:rsidRPr="00FE3F9B" w:rsidR="00E77CB3">
        <w:rPr>
          <w:lang w:val="fr-FR"/>
        </w:rPr>
        <w:t>à aucun autre motif d</w:t>
      </w:r>
      <w:r w:rsidRPr="00FE3F9B" w:rsidR="00FE3F9B">
        <w:rPr>
          <w:lang w:val="fr-FR"/>
        </w:rPr>
        <w:t>’</w:t>
      </w:r>
      <w:r w:rsidRPr="00FE3F9B" w:rsidR="00E77CB3">
        <w:rPr>
          <w:lang w:val="fr-FR"/>
        </w:rPr>
        <w:t>irrecevabilité</w:t>
      </w:r>
      <w:r w:rsidRPr="00FE3F9B" w:rsidR="002F5EFB">
        <w:rPr>
          <w:lang w:val="fr-FR"/>
        </w:rPr>
        <w:t xml:space="preserve">, la Cour </w:t>
      </w:r>
      <w:r w:rsidRPr="00FE3F9B" w:rsidR="000F00EF">
        <w:rPr>
          <w:lang w:val="fr-FR"/>
        </w:rPr>
        <w:t>l</w:t>
      </w:r>
      <w:r w:rsidRPr="00FE3F9B" w:rsidR="00454185">
        <w:rPr>
          <w:lang w:val="fr-FR"/>
        </w:rPr>
        <w:t>e</w:t>
      </w:r>
      <w:r w:rsidRPr="00FE3F9B" w:rsidR="000F00EF">
        <w:rPr>
          <w:lang w:val="fr-FR"/>
        </w:rPr>
        <w:t xml:space="preserve"> déclare recevable</w:t>
      </w:r>
      <w:r w:rsidRPr="00FE3F9B" w:rsidR="00E77CB3">
        <w:rPr>
          <w:lang w:val="fr-FR"/>
        </w:rPr>
        <w:t>.</w:t>
      </w:r>
    </w:p>
    <w:p w:rsidRPr="00FE3F9B" w:rsidR="00E77CB3" w:rsidP="00FE3F9B" w:rsidRDefault="00454185">
      <w:pPr>
        <w:pStyle w:val="ECHRHeading3"/>
        <w:rPr>
          <w:lang w:val="fr-FR"/>
        </w:rPr>
      </w:pPr>
      <w:r w:rsidRPr="00FE3F9B">
        <w:rPr>
          <w:lang w:val="fr-FR"/>
        </w:rPr>
        <w:t>2</w:t>
      </w:r>
      <w:r w:rsidRPr="00FE3F9B" w:rsidR="00E77CB3">
        <w:rPr>
          <w:lang w:val="fr-FR"/>
        </w:rPr>
        <w:t>.  Sur le fond</w:t>
      </w:r>
    </w:p>
    <w:p w:rsidRPr="00FE3F9B" w:rsidR="00C863FF" w:rsidP="00FE3F9B" w:rsidRDefault="00E03638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40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</w:t>
      </w:r>
      <w:r w:rsidRPr="00FE3F9B" w:rsidR="00C863FF">
        <w:rPr>
          <w:lang w:val="fr-FR"/>
        </w:rPr>
        <w:t>La Cour examinera la présente affaire à la lumière des principes généraux exposés dans l</w:t>
      </w:r>
      <w:r w:rsidRPr="00FE3F9B">
        <w:rPr>
          <w:lang w:val="fr-FR"/>
        </w:rPr>
        <w:t xml:space="preserve">es </w:t>
      </w:r>
      <w:r w:rsidRPr="00FE3F9B" w:rsidR="004D6CB8">
        <w:rPr>
          <w:lang w:val="fr-FR"/>
        </w:rPr>
        <w:t>arrêt</w:t>
      </w:r>
      <w:r w:rsidRPr="00FE3F9B">
        <w:rPr>
          <w:lang w:val="fr-FR"/>
        </w:rPr>
        <w:t>s</w:t>
      </w:r>
      <w:r w:rsidRPr="00FE3F9B" w:rsidR="004D6CB8">
        <w:rPr>
          <w:lang w:val="fr-FR"/>
        </w:rPr>
        <w:t xml:space="preserve"> </w:t>
      </w:r>
      <w:r w:rsidRPr="00FE3F9B" w:rsidR="004D6CB8">
        <w:rPr>
          <w:i/>
          <w:lang w:val="fr-FR"/>
        </w:rPr>
        <w:t>Bouyid c. Belgique</w:t>
      </w:r>
      <w:r w:rsidRPr="00FE3F9B" w:rsidR="004D6CB8">
        <w:rPr>
          <w:lang w:val="fr-FR"/>
        </w:rPr>
        <w:t xml:space="preserve"> [GC] (n</w:t>
      </w:r>
      <w:r w:rsidRPr="00FE3F9B" w:rsidR="004D6CB8">
        <w:rPr>
          <w:vertAlign w:val="superscript"/>
          <w:lang w:val="fr-FR"/>
        </w:rPr>
        <w:t>o</w:t>
      </w:r>
      <w:r w:rsidRPr="00FE3F9B" w:rsidR="004D6CB8">
        <w:rPr>
          <w:lang w:val="fr-FR"/>
        </w:rPr>
        <w:t> 23380/09, §§ 81</w:t>
      </w:r>
      <w:r w:rsidRPr="00FE3F9B" w:rsidR="004D6CB8">
        <w:rPr>
          <w:lang w:val="fr-FR"/>
        </w:rPr>
        <w:noBreakHyphen/>
        <w:t>90, CEDH 2015)</w:t>
      </w:r>
      <w:r w:rsidRPr="00FE3F9B">
        <w:rPr>
          <w:lang w:val="fr-FR"/>
        </w:rPr>
        <w:t xml:space="preserve"> et</w:t>
      </w:r>
      <w:r w:rsidRPr="00FE3F9B" w:rsidR="004D6CB8">
        <w:rPr>
          <w:lang w:val="fr-FR"/>
        </w:rPr>
        <w:t xml:space="preserve"> </w:t>
      </w:r>
      <w:r w:rsidRPr="00FE3F9B" w:rsidR="004D6CB8">
        <w:rPr>
          <w:i/>
          <w:lang w:val="fr-FR"/>
        </w:rPr>
        <w:t>El Masri c. « l</w:t>
      </w:r>
      <w:r w:rsidRPr="00FE3F9B" w:rsidR="00FE3F9B">
        <w:rPr>
          <w:i/>
          <w:lang w:val="fr-FR"/>
        </w:rPr>
        <w:t>’</w:t>
      </w:r>
      <w:r w:rsidRPr="00FE3F9B" w:rsidR="004D6CB8">
        <w:rPr>
          <w:i/>
          <w:lang w:val="fr-FR"/>
        </w:rPr>
        <w:t>ex</w:t>
      </w:r>
      <w:r w:rsidRPr="00FE3F9B" w:rsidR="004D6CB8">
        <w:rPr>
          <w:i/>
          <w:lang w:val="fr-FR"/>
        </w:rPr>
        <w:noBreakHyphen/>
        <w:t xml:space="preserve">République yougoslave de Macédoine » </w:t>
      </w:r>
      <w:r w:rsidRPr="00FE3F9B">
        <w:rPr>
          <w:lang w:val="fr-FR"/>
        </w:rPr>
        <w:t>[GC] (</w:t>
      </w:r>
      <w:r w:rsidRPr="00FE3F9B" w:rsidR="004D6CB8">
        <w:rPr>
          <w:lang w:val="fr-FR"/>
        </w:rPr>
        <w:t>n</w:t>
      </w:r>
      <w:r w:rsidRPr="00FE3F9B" w:rsidR="004D6CB8">
        <w:rPr>
          <w:vertAlign w:val="superscript"/>
          <w:lang w:val="fr-FR"/>
        </w:rPr>
        <w:t>o</w:t>
      </w:r>
      <w:r w:rsidRPr="00FE3F9B" w:rsidR="004D6CB8">
        <w:rPr>
          <w:lang w:val="fr-FR"/>
        </w:rPr>
        <w:t> 39630/09, §§ 182</w:t>
      </w:r>
      <w:r w:rsidRPr="00FE3F9B" w:rsidR="004D6CB8">
        <w:rPr>
          <w:lang w:val="fr-FR"/>
        </w:rPr>
        <w:noBreakHyphen/>
        <w:t>185, CEDH 2012</w:t>
      </w:r>
      <w:r w:rsidRPr="00FE3F9B">
        <w:rPr>
          <w:lang w:val="fr-FR"/>
        </w:rPr>
        <w:t>).</w:t>
      </w:r>
    </w:p>
    <w:p w:rsidRPr="00FE3F9B" w:rsidR="00953EE7" w:rsidP="00FE3F9B" w:rsidRDefault="005043CD">
      <w:pPr>
        <w:pStyle w:val="ECHRHeading4"/>
        <w:rPr>
          <w:lang w:val="fr-FR"/>
        </w:rPr>
      </w:pPr>
      <w:r w:rsidRPr="00FE3F9B">
        <w:rPr>
          <w:lang w:val="fr-FR"/>
        </w:rPr>
        <w:t>a)  </w:t>
      </w:r>
      <w:r w:rsidRPr="00FE3F9B" w:rsidR="002F5EFB">
        <w:rPr>
          <w:lang w:val="fr-FR"/>
        </w:rPr>
        <w:t>Sur l</w:t>
      </w:r>
      <w:r w:rsidRPr="00FE3F9B" w:rsidR="00FE3F9B">
        <w:rPr>
          <w:lang w:val="fr-FR"/>
        </w:rPr>
        <w:t>’</w:t>
      </w:r>
      <w:r w:rsidRPr="00FE3F9B" w:rsidR="002F5EFB">
        <w:rPr>
          <w:lang w:val="fr-FR"/>
        </w:rPr>
        <w:t>effectivité de l</w:t>
      </w:r>
      <w:r w:rsidRPr="00FE3F9B" w:rsidR="00FE3F9B">
        <w:rPr>
          <w:lang w:val="fr-FR"/>
        </w:rPr>
        <w:t>’</w:t>
      </w:r>
      <w:r w:rsidRPr="00FE3F9B" w:rsidR="002F5EFB">
        <w:rPr>
          <w:lang w:val="fr-FR"/>
        </w:rPr>
        <w:t>enquête</w:t>
      </w:r>
    </w:p>
    <w:p w:rsidRPr="00FE3F9B" w:rsidR="002F5EFB" w:rsidP="00FE3F9B" w:rsidRDefault="002F5EFB">
      <w:pPr>
        <w:pStyle w:val="ECHRPara"/>
        <w:rPr>
          <w:lang w:val="fr-FR"/>
        </w:rPr>
      </w:pPr>
      <w:r w:rsidRPr="00FE3F9B"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fldChar w:fldCharType="separate"/>
      </w:r>
      <w:r w:rsidRPr="00FE3F9B" w:rsidR="00FE3F9B">
        <w:rPr>
          <w:noProof/>
          <w:lang w:val="fr-FR"/>
        </w:rPr>
        <w:t>41</w:t>
      </w:r>
      <w:r w:rsidRPr="00FE3F9B">
        <w:fldChar w:fldCharType="end"/>
      </w:r>
      <w:r w:rsidRPr="00FE3F9B">
        <w:rPr>
          <w:lang w:val="fr-FR"/>
        </w:rPr>
        <w:t>.  Se tournant vers les circonstances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espèce, la Cour constate tout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abord que les </w:t>
      </w:r>
      <w:r w:rsidRPr="00FE3F9B" w:rsidR="00994964">
        <w:rPr>
          <w:lang w:val="fr-FR"/>
        </w:rPr>
        <w:t xml:space="preserve">allégations de </w:t>
      </w:r>
      <w:r w:rsidRPr="00FE3F9B">
        <w:rPr>
          <w:lang w:val="fr-FR"/>
        </w:rPr>
        <w:t>mauvais traitements que l</w:t>
      </w:r>
      <w:r w:rsidRPr="00FE3F9B" w:rsidR="00454C1E">
        <w:rPr>
          <w:lang w:val="fr-FR"/>
        </w:rPr>
        <w:t>a</w:t>
      </w:r>
      <w:r w:rsidRPr="00FE3F9B">
        <w:rPr>
          <w:lang w:val="fr-FR"/>
        </w:rPr>
        <w:t xml:space="preserve"> requérant</w:t>
      </w:r>
      <w:r w:rsidRPr="00FE3F9B" w:rsidR="00454C1E">
        <w:rPr>
          <w:lang w:val="fr-FR"/>
        </w:rPr>
        <w:t>e</w:t>
      </w:r>
      <w:r w:rsidRPr="00FE3F9B">
        <w:rPr>
          <w:lang w:val="fr-FR"/>
        </w:rPr>
        <w:t xml:space="preserve"> déclare avoir subis l</w:t>
      </w:r>
      <w:r w:rsidRPr="00FE3F9B" w:rsidR="006A4728">
        <w:rPr>
          <w:lang w:val="fr-FR"/>
        </w:rPr>
        <w:t>e 6 </w:t>
      </w:r>
      <w:r w:rsidRPr="00FE3F9B">
        <w:rPr>
          <w:lang w:val="fr-FR"/>
        </w:rPr>
        <w:t>novembre 2001 ont été examiné</w:t>
      </w:r>
      <w:r w:rsidRPr="00FE3F9B" w:rsidR="00396FAC">
        <w:rPr>
          <w:lang w:val="fr-FR"/>
        </w:rPr>
        <w:t>e</w:t>
      </w:r>
      <w:r w:rsidRPr="00FE3F9B">
        <w:rPr>
          <w:lang w:val="fr-FR"/>
        </w:rPr>
        <w:t>s par les autorités internes dans le cadre d</w:t>
      </w:r>
      <w:r w:rsidRPr="00FE3F9B" w:rsidR="00FE3F9B">
        <w:rPr>
          <w:lang w:val="fr-FR"/>
        </w:rPr>
        <w:t>’</w:t>
      </w:r>
      <w:r w:rsidRPr="00FE3F9B" w:rsidR="00454C1E">
        <w:rPr>
          <w:lang w:val="fr-FR"/>
        </w:rPr>
        <w:t xml:space="preserve">une </w:t>
      </w:r>
      <w:r w:rsidRPr="00FE3F9B">
        <w:rPr>
          <w:lang w:val="fr-FR"/>
        </w:rPr>
        <w:t>enquête préliminaire sur la base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article 144 du CPP (paragraphe </w:t>
      </w:r>
      <w:r w:rsidRPr="00FE3F9B" w:rsidR="002D40C9">
        <w:rPr>
          <w:lang w:val="fr-FR"/>
        </w:rPr>
        <w:fldChar w:fldCharType="begin"/>
      </w:r>
      <w:r w:rsidRPr="00FE3F9B" w:rsidR="002D40C9">
        <w:rPr>
          <w:lang w:val="fr-FR"/>
        </w:rPr>
        <w:instrText xml:space="preserve"> REF verif144 \h </w:instrText>
      </w:r>
      <w:r w:rsidRPr="00FE3F9B" w:rsidR="002D40C9">
        <w:rPr>
          <w:lang w:val="fr-FR"/>
        </w:rPr>
      </w:r>
      <w:r w:rsidRPr="00FE3F9B" w:rsidR="002D40C9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17</w:t>
      </w:r>
      <w:r w:rsidRPr="00FE3F9B" w:rsidR="002D40C9">
        <w:rPr>
          <w:lang w:val="fr-FR"/>
        </w:rPr>
        <w:fldChar w:fldCharType="end"/>
      </w:r>
      <w:r w:rsidRPr="00FE3F9B" w:rsidR="002D40C9">
        <w:rPr>
          <w:lang w:val="fr-FR"/>
        </w:rPr>
        <w:t xml:space="preserve"> </w:t>
      </w:r>
      <w:r w:rsidRPr="00FE3F9B">
        <w:rPr>
          <w:lang w:val="fr-FR"/>
        </w:rPr>
        <w:t>ci-dessus). Elle relève ensuite que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enquête susmentionné</w:t>
      </w:r>
      <w:r w:rsidRPr="00FE3F9B" w:rsidR="00454C1E">
        <w:rPr>
          <w:lang w:val="fr-FR"/>
        </w:rPr>
        <w:t>e</w:t>
      </w:r>
      <w:r w:rsidRPr="00FE3F9B">
        <w:rPr>
          <w:lang w:val="fr-FR"/>
        </w:rPr>
        <w:t xml:space="preserve"> n</w:t>
      </w:r>
      <w:r w:rsidRPr="00FE3F9B" w:rsidR="00FE3F9B">
        <w:rPr>
          <w:lang w:val="fr-FR"/>
        </w:rPr>
        <w:t>’</w:t>
      </w:r>
      <w:r w:rsidRPr="00FE3F9B" w:rsidR="006A0F32">
        <w:rPr>
          <w:lang w:val="fr-FR"/>
        </w:rPr>
        <w:t>a</w:t>
      </w:r>
      <w:r w:rsidRPr="00FE3F9B">
        <w:rPr>
          <w:lang w:val="fr-FR"/>
        </w:rPr>
        <w:t xml:space="preserve"> jamais abouti à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ouverture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une instruction pénale proprement dite (paragraphes </w:t>
      </w:r>
      <w:r w:rsidRPr="00FE3F9B" w:rsidR="002D40C9">
        <w:rPr>
          <w:lang w:val="fr-FR"/>
        </w:rPr>
        <w:fldChar w:fldCharType="begin"/>
      </w:r>
      <w:r w:rsidRPr="00FE3F9B" w:rsidR="002D40C9">
        <w:rPr>
          <w:lang w:val="fr-FR"/>
        </w:rPr>
        <w:instrText xml:space="preserve"> REF refpen11nov09 \h </w:instrText>
      </w:r>
      <w:r w:rsidRPr="00FE3F9B" w:rsidR="002D40C9">
        <w:rPr>
          <w:lang w:val="fr-FR"/>
        </w:rPr>
      </w:r>
      <w:r w:rsidRPr="00FE3F9B" w:rsidR="002D40C9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24</w:t>
      </w:r>
      <w:r w:rsidRPr="00FE3F9B" w:rsidR="002D40C9">
        <w:rPr>
          <w:lang w:val="fr-FR"/>
        </w:rPr>
        <w:fldChar w:fldCharType="end"/>
      </w:r>
      <w:r w:rsidRPr="00FE3F9B" w:rsidR="002D40C9">
        <w:rPr>
          <w:lang w:val="fr-FR"/>
        </w:rPr>
        <w:noBreakHyphen/>
      </w:r>
      <w:r w:rsidRPr="00FE3F9B" w:rsidR="002D40C9">
        <w:rPr>
          <w:lang w:val="fr-FR"/>
        </w:rPr>
        <w:fldChar w:fldCharType="begin"/>
      </w:r>
      <w:r w:rsidRPr="00FE3F9B" w:rsidR="002D40C9">
        <w:rPr>
          <w:lang w:val="fr-FR"/>
        </w:rPr>
        <w:instrText xml:space="preserve"> REF refpen11nov09ult \h </w:instrText>
      </w:r>
      <w:r w:rsidRPr="00FE3F9B" w:rsidR="002D40C9">
        <w:rPr>
          <w:lang w:val="fr-FR"/>
        </w:rPr>
      </w:r>
      <w:r w:rsidRPr="00FE3F9B" w:rsidR="002D40C9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25</w:t>
      </w:r>
      <w:r w:rsidRPr="00FE3F9B" w:rsidR="002D40C9">
        <w:rPr>
          <w:lang w:val="fr-FR"/>
        </w:rPr>
        <w:fldChar w:fldCharType="end"/>
      </w:r>
      <w:r w:rsidRPr="00FE3F9B" w:rsidR="002D40C9">
        <w:rPr>
          <w:lang w:val="fr-FR"/>
        </w:rPr>
        <w:t xml:space="preserve"> </w:t>
      </w:r>
      <w:r w:rsidRPr="00FE3F9B">
        <w:rPr>
          <w:lang w:val="fr-FR"/>
        </w:rPr>
        <w:t>ci-dessus).</w:t>
      </w:r>
    </w:p>
    <w:p w:rsidRPr="00FE3F9B" w:rsidR="00953EE7" w:rsidP="00FE3F9B" w:rsidRDefault="00030E12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42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</w:t>
      </w:r>
      <w:r w:rsidRPr="00FE3F9B" w:rsidR="006A4728">
        <w:rPr>
          <w:lang w:val="fr-FR"/>
        </w:rPr>
        <w:t>La Cour souligne avoir déjà jugé que le refus des autorités internes d</w:t>
      </w:r>
      <w:r w:rsidRPr="00FE3F9B" w:rsidR="00FE3F9B">
        <w:rPr>
          <w:lang w:val="fr-FR"/>
        </w:rPr>
        <w:t>’</w:t>
      </w:r>
      <w:r w:rsidRPr="00FE3F9B" w:rsidR="006A4728">
        <w:rPr>
          <w:lang w:val="fr-FR"/>
        </w:rPr>
        <w:t>ouvrir une instruction pénale au sujet d</w:t>
      </w:r>
      <w:r w:rsidRPr="00FE3F9B" w:rsidR="00FE3F9B">
        <w:rPr>
          <w:lang w:val="fr-FR"/>
        </w:rPr>
        <w:t>’</w:t>
      </w:r>
      <w:r w:rsidRPr="00FE3F9B" w:rsidR="006A4728">
        <w:rPr>
          <w:lang w:val="fr-FR"/>
        </w:rPr>
        <w:t>un grief défendable de mauvais traitements subis entre les mains de la police est révélateur d</w:t>
      </w:r>
      <w:r w:rsidRPr="00FE3F9B" w:rsidR="00FE3F9B">
        <w:rPr>
          <w:lang w:val="fr-FR"/>
        </w:rPr>
        <w:t>’</w:t>
      </w:r>
      <w:r w:rsidRPr="00FE3F9B" w:rsidR="006A4728">
        <w:rPr>
          <w:lang w:val="fr-FR"/>
        </w:rPr>
        <w:t>un manquement de l</w:t>
      </w:r>
      <w:r w:rsidRPr="00FE3F9B" w:rsidR="00FE3F9B">
        <w:rPr>
          <w:lang w:val="fr-FR"/>
        </w:rPr>
        <w:t>’</w:t>
      </w:r>
      <w:r w:rsidRPr="00FE3F9B" w:rsidR="006A4728">
        <w:rPr>
          <w:lang w:val="fr-FR"/>
        </w:rPr>
        <w:t>État à son obligation de conduire une enquête effective prévue par l</w:t>
      </w:r>
      <w:r w:rsidRPr="00FE3F9B" w:rsidR="00FE3F9B">
        <w:rPr>
          <w:lang w:val="fr-FR"/>
        </w:rPr>
        <w:t>’</w:t>
      </w:r>
      <w:r w:rsidRPr="00FE3F9B" w:rsidR="006A4728">
        <w:rPr>
          <w:lang w:val="fr-FR"/>
        </w:rPr>
        <w:t>article 3 de la Convention (</w:t>
      </w:r>
      <w:r w:rsidRPr="00FE3F9B" w:rsidR="006A4728">
        <w:rPr>
          <w:i/>
          <w:lang w:val="fr-FR"/>
        </w:rPr>
        <w:t>Lyapin</w:t>
      </w:r>
      <w:r w:rsidRPr="00FE3F9B" w:rsidR="006A4728">
        <w:rPr>
          <w:lang w:val="fr-FR"/>
        </w:rPr>
        <w:t>, précité, §§ 133-140). Elle ne voit aucune raison d</w:t>
      </w:r>
      <w:r w:rsidRPr="00FE3F9B" w:rsidR="00FE3F9B">
        <w:rPr>
          <w:lang w:val="fr-FR"/>
        </w:rPr>
        <w:t>’</w:t>
      </w:r>
      <w:r w:rsidRPr="00FE3F9B" w:rsidR="006A4728">
        <w:rPr>
          <w:lang w:val="fr-FR"/>
        </w:rPr>
        <w:t>aboutir à un constat différent en l</w:t>
      </w:r>
      <w:r w:rsidRPr="00FE3F9B" w:rsidR="00FE3F9B">
        <w:rPr>
          <w:lang w:val="fr-FR"/>
        </w:rPr>
        <w:t>’</w:t>
      </w:r>
      <w:r w:rsidRPr="00FE3F9B" w:rsidR="006A4728">
        <w:rPr>
          <w:lang w:val="fr-FR"/>
        </w:rPr>
        <w:t xml:space="preserve">espèce. En effet, elle note </w:t>
      </w:r>
      <w:r w:rsidRPr="00FE3F9B" w:rsidR="00396FAC">
        <w:rPr>
          <w:lang w:val="fr-FR"/>
        </w:rPr>
        <w:t>en l</w:t>
      </w:r>
      <w:r w:rsidRPr="00FE3F9B" w:rsidR="00FE3F9B">
        <w:rPr>
          <w:lang w:val="fr-FR"/>
        </w:rPr>
        <w:t>’</w:t>
      </w:r>
      <w:r w:rsidRPr="00FE3F9B" w:rsidR="00396FAC">
        <w:rPr>
          <w:lang w:val="fr-FR"/>
        </w:rPr>
        <w:t xml:space="preserve">occurrence </w:t>
      </w:r>
      <w:r w:rsidRPr="00FE3F9B" w:rsidR="006A4728">
        <w:rPr>
          <w:lang w:val="fr-FR"/>
        </w:rPr>
        <w:t>que les autorités chargées de l</w:t>
      </w:r>
      <w:r w:rsidRPr="00FE3F9B" w:rsidR="00FE3F9B">
        <w:rPr>
          <w:lang w:val="fr-FR"/>
        </w:rPr>
        <w:t>’</w:t>
      </w:r>
      <w:r w:rsidRPr="00FE3F9B" w:rsidR="006A4728">
        <w:rPr>
          <w:lang w:val="fr-FR"/>
        </w:rPr>
        <w:t xml:space="preserve">instruction se sont bornées à recueillir les </w:t>
      </w:r>
      <w:r w:rsidRPr="00FE3F9B" w:rsidR="004C4633">
        <w:rPr>
          <w:lang w:val="fr-FR"/>
        </w:rPr>
        <w:t xml:space="preserve">explications </w:t>
      </w:r>
      <w:r w:rsidRPr="00FE3F9B" w:rsidR="006A4728">
        <w:rPr>
          <w:lang w:val="fr-FR"/>
        </w:rPr>
        <w:t xml:space="preserve">de différentes personnes et se sont appuyées principalement sur ces </w:t>
      </w:r>
      <w:r w:rsidRPr="00FE3F9B" w:rsidR="00EF6FED">
        <w:rPr>
          <w:lang w:val="fr-FR"/>
        </w:rPr>
        <w:t>explications</w:t>
      </w:r>
      <w:r w:rsidRPr="00FE3F9B" w:rsidR="006A4728">
        <w:rPr>
          <w:lang w:val="fr-FR"/>
        </w:rPr>
        <w:t xml:space="preserve"> pour rejeter les allégations de la requérante</w:t>
      </w:r>
      <w:r w:rsidRPr="00FE3F9B" w:rsidR="00396FAC">
        <w:rPr>
          <w:lang w:val="fr-FR"/>
        </w:rPr>
        <w:t>, après les avoir</w:t>
      </w:r>
      <w:r w:rsidRPr="00FE3F9B" w:rsidR="006A4728">
        <w:rPr>
          <w:lang w:val="fr-FR"/>
        </w:rPr>
        <w:t xml:space="preserve"> considér</w:t>
      </w:r>
      <w:r w:rsidRPr="00FE3F9B" w:rsidR="00396FAC">
        <w:rPr>
          <w:lang w:val="fr-FR"/>
        </w:rPr>
        <w:t>ées</w:t>
      </w:r>
      <w:r w:rsidRPr="00FE3F9B" w:rsidR="006A4728">
        <w:rPr>
          <w:lang w:val="fr-FR"/>
        </w:rPr>
        <w:t xml:space="preserve"> comme non étayées (paragraphe</w:t>
      </w:r>
      <w:r w:rsidRPr="00FE3F9B" w:rsidR="00396FAC">
        <w:rPr>
          <w:lang w:val="fr-FR"/>
        </w:rPr>
        <w:t> </w:t>
      </w:r>
      <w:r w:rsidRPr="00FE3F9B" w:rsidR="002D40C9">
        <w:rPr>
          <w:lang w:val="fr-FR"/>
        </w:rPr>
        <w:fldChar w:fldCharType="begin"/>
      </w:r>
      <w:r w:rsidRPr="00FE3F9B" w:rsidR="002D40C9">
        <w:rPr>
          <w:lang w:val="fr-FR"/>
        </w:rPr>
        <w:instrText xml:space="preserve"> REF refpenelem \h </w:instrText>
      </w:r>
      <w:r w:rsidRPr="00FE3F9B" w:rsidR="004C4633">
        <w:rPr>
          <w:lang w:val="fr-FR"/>
        </w:rPr>
        <w:instrText xml:space="preserve"> \* MERGEFORMAT </w:instrText>
      </w:r>
      <w:r w:rsidRPr="00FE3F9B" w:rsidR="002D40C9">
        <w:rPr>
          <w:lang w:val="fr-FR"/>
        </w:rPr>
      </w:r>
      <w:r w:rsidRPr="00FE3F9B" w:rsidR="002D40C9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23</w:t>
      </w:r>
      <w:r w:rsidRPr="00FE3F9B" w:rsidR="002D40C9">
        <w:rPr>
          <w:lang w:val="fr-FR"/>
        </w:rPr>
        <w:fldChar w:fldCharType="end"/>
      </w:r>
      <w:r w:rsidRPr="00FE3F9B" w:rsidR="002D40C9">
        <w:rPr>
          <w:lang w:val="fr-FR"/>
        </w:rPr>
        <w:t xml:space="preserve"> ci</w:t>
      </w:r>
      <w:r w:rsidRPr="00FE3F9B" w:rsidR="002D40C9">
        <w:rPr>
          <w:lang w:val="fr-FR"/>
        </w:rPr>
        <w:noBreakHyphen/>
      </w:r>
      <w:r w:rsidRPr="00FE3F9B" w:rsidR="006A4728">
        <w:rPr>
          <w:lang w:val="fr-FR"/>
        </w:rPr>
        <w:t>dessus).</w:t>
      </w:r>
      <w:r w:rsidRPr="00FE3F9B" w:rsidR="00673692">
        <w:rPr>
          <w:lang w:val="fr-FR"/>
        </w:rPr>
        <w:t xml:space="preserve"> </w:t>
      </w:r>
      <w:r w:rsidRPr="00FE3F9B" w:rsidR="00396FAC">
        <w:rPr>
          <w:lang w:val="fr-FR"/>
        </w:rPr>
        <w:t>Elle note aussi que</w:t>
      </w:r>
      <w:r w:rsidRPr="00FE3F9B" w:rsidR="00673692">
        <w:rPr>
          <w:lang w:val="fr-FR"/>
        </w:rPr>
        <w:t xml:space="preserve"> les autorités chargées de l</w:t>
      </w:r>
      <w:r w:rsidRPr="00FE3F9B" w:rsidR="00FE3F9B">
        <w:rPr>
          <w:lang w:val="fr-FR"/>
        </w:rPr>
        <w:t>’</w:t>
      </w:r>
      <w:r w:rsidRPr="00FE3F9B" w:rsidR="00673692">
        <w:rPr>
          <w:lang w:val="fr-FR"/>
        </w:rPr>
        <w:t>instruction</w:t>
      </w:r>
      <w:r w:rsidRPr="00FE3F9B" w:rsidR="004C4633">
        <w:rPr>
          <w:lang w:val="fr-FR"/>
        </w:rPr>
        <w:t>, qui ont estimé que les déclarations de la requérante et de ses proches étaient contradictoires,</w:t>
      </w:r>
      <w:r w:rsidRPr="00FE3F9B" w:rsidR="00673692">
        <w:rPr>
          <w:lang w:val="fr-FR"/>
        </w:rPr>
        <w:t xml:space="preserve"> n</w:t>
      </w:r>
      <w:r w:rsidRPr="00FE3F9B" w:rsidR="00FE3F9B">
        <w:rPr>
          <w:lang w:val="fr-FR"/>
        </w:rPr>
        <w:t>’</w:t>
      </w:r>
      <w:r w:rsidRPr="00FE3F9B" w:rsidR="00673692">
        <w:rPr>
          <w:lang w:val="fr-FR"/>
        </w:rPr>
        <w:t xml:space="preserve">ont toutefois pas procédé à des confrontations avec les policiers ou le présumé témoin B. </w:t>
      </w:r>
      <w:r w:rsidRPr="00FE3F9B" w:rsidR="00454C1E">
        <w:rPr>
          <w:lang w:val="fr-FR"/>
        </w:rPr>
        <w:t>L</w:t>
      </w:r>
      <w:r w:rsidRPr="00FE3F9B" w:rsidR="00673692">
        <w:rPr>
          <w:lang w:val="fr-FR"/>
        </w:rPr>
        <w:t xml:space="preserve">a Cour </w:t>
      </w:r>
      <w:r w:rsidRPr="00FE3F9B" w:rsidR="00CF656C">
        <w:rPr>
          <w:lang w:val="fr-FR"/>
        </w:rPr>
        <w:t>rappelle</w:t>
      </w:r>
      <w:r w:rsidRPr="00FE3F9B" w:rsidR="00673692">
        <w:rPr>
          <w:lang w:val="fr-FR"/>
        </w:rPr>
        <w:t xml:space="preserve"> à cet égard</w:t>
      </w:r>
      <w:r w:rsidRPr="00FE3F9B" w:rsidR="00CF656C">
        <w:rPr>
          <w:lang w:val="fr-FR"/>
        </w:rPr>
        <w:t xml:space="preserve"> que des explications recueillies dans le cadre d</w:t>
      </w:r>
      <w:r w:rsidRPr="00FE3F9B" w:rsidR="00FE3F9B">
        <w:rPr>
          <w:lang w:val="fr-FR"/>
        </w:rPr>
        <w:t>’</w:t>
      </w:r>
      <w:r w:rsidRPr="00FE3F9B" w:rsidR="00CF656C">
        <w:rPr>
          <w:lang w:val="fr-FR"/>
        </w:rPr>
        <w:t>une vérification préliminaire ne sont pas assorties des garanties inhérentes à une enquête pénale effective comme, par exemple, l</w:t>
      </w:r>
      <w:r w:rsidRPr="00FE3F9B" w:rsidR="00FE3F9B">
        <w:rPr>
          <w:lang w:val="fr-FR"/>
        </w:rPr>
        <w:t>’</w:t>
      </w:r>
      <w:r w:rsidRPr="00FE3F9B" w:rsidR="00CF656C">
        <w:rPr>
          <w:lang w:val="fr-FR"/>
        </w:rPr>
        <w:t>engagement de la responsabilité pénale pour faux témoignage ou refus de témoigner (</w:t>
      </w:r>
      <w:r w:rsidRPr="00FE3F9B" w:rsidR="00CF656C">
        <w:rPr>
          <w:i/>
          <w:lang w:val="fr-FR"/>
        </w:rPr>
        <w:t>Lyapin</w:t>
      </w:r>
      <w:r w:rsidRPr="00FE3F9B" w:rsidR="00CF656C">
        <w:rPr>
          <w:lang w:val="fr-FR"/>
        </w:rPr>
        <w:t>, précité, § 134).</w:t>
      </w:r>
    </w:p>
    <w:p w:rsidRPr="00FE3F9B" w:rsidR="00D80661" w:rsidP="00FE3F9B" w:rsidRDefault="00D80661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43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La Cour estime que les défauts constatés sont la conséquence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absence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ouverture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une instruction pénale, laquelle aurait constitué une réponse adéquate aux allégations de mauvais traitements</w:t>
      </w:r>
      <w:r w:rsidRPr="00FE3F9B" w:rsidR="00673692">
        <w:rPr>
          <w:lang w:val="fr-FR"/>
        </w:rPr>
        <w:t xml:space="preserve"> de la </w:t>
      </w:r>
      <w:r w:rsidRPr="00FE3F9B">
        <w:rPr>
          <w:lang w:val="fr-FR"/>
        </w:rPr>
        <w:t>requérant</w:t>
      </w:r>
      <w:r w:rsidRPr="00FE3F9B" w:rsidR="00673692">
        <w:rPr>
          <w:lang w:val="fr-FR"/>
        </w:rPr>
        <w:t>e</w:t>
      </w:r>
      <w:r w:rsidRPr="00FE3F9B">
        <w:rPr>
          <w:lang w:val="fr-FR"/>
        </w:rPr>
        <w:t xml:space="preserve"> puisqu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elle aurait permis de déployer toutes les mesures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instruction prévues par le CPP, tel</w:t>
      </w:r>
      <w:r w:rsidRPr="00FE3F9B" w:rsidR="00816BFD">
        <w:rPr>
          <w:lang w:val="fr-FR"/>
        </w:rPr>
        <w:t>le</w:t>
      </w:r>
      <w:r w:rsidRPr="00FE3F9B">
        <w:rPr>
          <w:lang w:val="fr-FR"/>
        </w:rPr>
        <w:t>s que – entre autres – les interrogatoires, les confrontations, les identifications, les reconstitutions et les expertises (</w:t>
      </w:r>
      <w:r w:rsidRPr="00FE3F9B">
        <w:rPr>
          <w:i/>
          <w:iCs/>
          <w:lang w:val="fr-FR"/>
        </w:rPr>
        <w:t>Aleksey Borisov</w:t>
      </w:r>
      <w:r w:rsidRPr="00FE3F9B">
        <w:rPr>
          <w:lang w:val="fr-FR"/>
        </w:rPr>
        <w:t xml:space="preserve"> </w:t>
      </w:r>
      <w:r w:rsidRPr="00FE3F9B">
        <w:rPr>
          <w:i/>
          <w:iCs/>
          <w:lang w:val="fr-FR"/>
        </w:rPr>
        <w:t>c. Russie</w:t>
      </w:r>
      <w:r w:rsidRPr="00FE3F9B">
        <w:rPr>
          <w:lang w:val="fr-FR"/>
        </w:rPr>
        <w:t>, n</w:t>
      </w:r>
      <w:r w:rsidRPr="00FE3F9B">
        <w:rPr>
          <w:vertAlign w:val="superscript"/>
          <w:lang w:val="fr-FR"/>
        </w:rPr>
        <w:t>o</w:t>
      </w:r>
      <w:r w:rsidRPr="00FE3F9B">
        <w:rPr>
          <w:lang w:val="fr-FR"/>
        </w:rPr>
        <w:t> 12008/06, § 60, 16 juillet 2015).</w:t>
      </w:r>
    </w:p>
    <w:p w:rsidRPr="00FE3F9B" w:rsidR="00953EE7" w:rsidP="00FE3F9B" w:rsidRDefault="00030E12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44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</w:t>
      </w:r>
      <w:r w:rsidRPr="00FE3F9B" w:rsidR="006A4728">
        <w:rPr>
          <w:lang w:val="fr-FR"/>
        </w:rPr>
        <w:t xml:space="preserve">La Cour note ensuite que, bien que les autorités internes aient </w:t>
      </w:r>
      <w:r w:rsidRPr="00FE3F9B" w:rsidR="006A0F32">
        <w:rPr>
          <w:lang w:val="fr-FR"/>
        </w:rPr>
        <w:t xml:space="preserve">promptement </w:t>
      </w:r>
      <w:r w:rsidRPr="00FE3F9B" w:rsidR="006A4728">
        <w:rPr>
          <w:lang w:val="fr-FR"/>
        </w:rPr>
        <w:t>ordonné une expertise médicolégale pour consigner les lésions corporelles de la requérante, elles ne se sont pas fondées sur les conclusions du médecin légiste</w:t>
      </w:r>
      <w:r w:rsidRPr="00FE3F9B" w:rsidR="00C27543">
        <w:rPr>
          <w:lang w:val="fr-FR"/>
        </w:rPr>
        <w:t>. L</w:t>
      </w:r>
      <w:r w:rsidRPr="00FE3F9B" w:rsidR="003D2AA6">
        <w:rPr>
          <w:lang w:val="fr-FR"/>
        </w:rPr>
        <w:t>a Cour ne peut que constater qu</w:t>
      </w:r>
      <w:r w:rsidRPr="00FE3F9B" w:rsidR="00E733FE">
        <w:rPr>
          <w:lang w:val="fr-FR"/>
        </w:rPr>
        <w:t>e les autorités</w:t>
      </w:r>
      <w:r w:rsidRPr="00FE3F9B" w:rsidR="003D2AA6">
        <w:rPr>
          <w:lang w:val="fr-FR"/>
        </w:rPr>
        <w:t xml:space="preserve"> se sont hâtivement ralliées aux explications des auteurs présumés de</w:t>
      </w:r>
      <w:r w:rsidRPr="00FE3F9B" w:rsidR="00C37401">
        <w:rPr>
          <w:lang w:val="fr-FR"/>
        </w:rPr>
        <w:t>s</w:t>
      </w:r>
      <w:r w:rsidRPr="00FE3F9B" w:rsidR="003D2AA6">
        <w:rPr>
          <w:lang w:val="fr-FR"/>
        </w:rPr>
        <w:t xml:space="preserve"> mauvais traitements </w:t>
      </w:r>
      <w:r w:rsidRPr="00FE3F9B" w:rsidR="00C37401">
        <w:rPr>
          <w:lang w:val="fr-FR"/>
        </w:rPr>
        <w:t xml:space="preserve">dénoncés par la requérante </w:t>
      </w:r>
      <w:r w:rsidRPr="00FE3F9B" w:rsidR="003D2AA6">
        <w:rPr>
          <w:lang w:val="fr-FR"/>
        </w:rPr>
        <w:t xml:space="preserve">en </w:t>
      </w:r>
      <w:r w:rsidRPr="00FE3F9B" w:rsidR="00C27543">
        <w:rPr>
          <w:lang w:val="fr-FR"/>
        </w:rPr>
        <w:t>refus</w:t>
      </w:r>
      <w:r w:rsidRPr="00FE3F9B" w:rsidR="003D2AA6">
        <w:rPr>
          <w:lang w:val="fr-FR"/>
        </w:rPr>
        <w:t>ant</w:t>
      </w:r>
      <w:r w:rsidRPr="00FE3F9B" w:rsidR="00C27543">
        <w:rPr>
          <w:lang w:val="fr-FR"/>
        </w:rPr>
        <w:t xml:space="preserve"> d</w:t>
      </w:r>
      <w:r w:rsidRPr="00FE3F9B" w:rsidR="00FE3F9B">
        <w:rPr>
          <w:lang w:val="fr-FR"/>
        </w:rPr>
        <w:t>’</w:t>
      </w:r>
      <w:r w:rsidRPr="00FE3F9B" w:rsidR="00C27543">
        <w:rPr>
          <w:lang w:val="fr-FR"/>
        </w:rPr>
        <w:t xml:space="preserve">ouvrir une enquête pénale le 18 novembre 2001, soit un jour avant </w:t>
      </w:r>
      <w:r w:rsidRPr="00FE3F9B" w:rsidR="003D2AA6">
        <w:rPr>
          <w:lang w:val="fr-FR"/>
        </w:rPr>
        <w:t xml:space="preserve">même que </w:t>
      </w:r>
      <w:r w:rsidRPr="00FE3F9B" w:rsidR="00C27543">
        <w:rPr>
          <w:lang w:val="fr-FR"/>
        </w:rPr>
        <w:t>l</w:t>
      </w:r>
      <w:r w:rsidRPr="00FE3F9B" w:rsidR="003D2AA6">
        <w:rPr>
          <w:lang w:val="fr-FR"/>
        </w:rPr>
        <w:t xml:space="preserve">e médecin légiste </w:t>
      </w:r>
      <w:r w:rsidRPr="00FE3F9B" w:rsidR="007A1854">
        <w:rPr>
          <w:lang w:val="fr-FR"/>
        </w:rPr>
        <w:t xml:space="preserve">ne rende </w:t>
      </w:r>
      <w:r w:rsidRPr="00FE3F9B" w:rsidR="003D2AA6">
        <w:rPr>
          <w:lang w:val="fr-FR"/>
        </w:rPr>
        <w:t xml:space="preserve">son rapport </w:t>
      </w:r>
      <w:r w:rsidRPr="00FE3F9B" w:rsidR="00C27543">
        <w:rPr>
          <w:lang w:val="fr-FR"/>
        </w:rPr>
        <w:t>du 19 novembre 2001</w:t>
      </w:r>
      <w:r w:rsidRPr="00FE3F9B" w:rsidR="002D40C9">
        <w:rPr>
          <w:lang w:val="fr-FR"/>
        </w:rPr>
        <w:t xml:space="preserve"> (paragraphe </w:t>
      </w:r>
      <w:r w:rsidRPr="00FE3F9B" w:rsidR="002D40C9">
        <w:rPr>
          <w:lang w:val="fr-FR"/>
        </w:rPr>
        <w:fldChar w:fldCharType="begin"/>
      </w:r>
      <w:r w:rsidRPr="00FE3F9B" w:rsidR="002D40C9">
        <w:rPr>
          <w:lang w:val="fr-FR"/>
        </w:rPr>
        <w:instrText xml:space="preserve"> REF refpen1 \h </w:instrText>
      </w:r>
      <w:r w:rsidRPr="00FE3F9B" w:rsidR="002D40C9">
        <w:rPr>
          <w:lang w:val="fr-FR"/>
        </w:rPr>
      </w:r>
      <w:r w:rsidRPr="00FE3F9B" w:rsidR="002D40C9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20</w:t>
      </w:r>
      <w:r w:rsidRPr="00FE3F9B" w:rsidR="002D40C9">
        <w:rPr>
          <w:lang w:val="fr-FR"/>
        </w:rPr>
        <w:fldChar w:fldCharType="end"/>
      </w:r>
      <w:r w:rsidRPr="00FE3F9B" w:rsidR="002D40C9">
        <w:rPr>
          <w:lang w:val="fr-FR"/>
        </w:rPr>
        <w:t xml:space="preserve"> ci</w:t>
      </w:r>
      <w:r w:rsidRPr="00FE3F9B" w:rsidR="002D40C9">
        <w:rPr>
          <w:lang w:val="fr-FR"/>
        </w:rPr>
        <w:noBreakHyphen/>
        <w:t>dessus)</w:t>
      </w:r>
      <w:r w:rsidRPr="00FE3F9B" w:rsidR="00C27543">
        <w:rPr>
          <w:lang w:val="fr-FR"/>
        </w:rPr>
        <w:t>.</w:t>
      </w:r>
    </w:p>
    <w:p w:rsidRPr="00FE3F9B" w:rsidR="00953EE7" w:rsidP="00FE3F9B" w:rsidRDefault="002D40C9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45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</w:t>
      </w:r>
      <w:r w:rsidRPr="00FE3F9B" w:rsidR="00C27543">
        <w:rPr>
          <w:lang w:val="fr-FR"/>
        </w:rPr>
        <w:t xml:space="preserve">En ce qui concerne les décisions </w:t>
      </w:r>
      <w:r w:rsidRPr="00FE3F9B" w:rsidR="003D2AA6">
        <w:rPr>
          <w:lang w:val="fr-FR"/>
        </w:rPr>
        <w:t>de refus d</w:t>
      </w:r>
      <w:r w:rsidRPr="00FE3F9B" w:rsidR="00FE3F9B">
        <w:rPr>
          <w:lang w:val="fr-FR"/>
        </w:rPr>
        <w:t>’</w:t>
      </w:r>
      <w:r w:rsidRPr="00FE3F9B" w:rsidR="003D2AA6">
        <w:rPr>
          <w:lang w:val="fr-FR"/>
        </w:rPr>
        <w:t>ouv</w:t>
      </w:r>
      <w:r w:rsidRPr="00FE3F9B" w:rsidR="00B91A81">
        <w:rPr>
          <w:lang w:val="fr-FR"/>
        </w:rPr>
        <w:t>erture d</w:t>
      </w:r>
      <w:r w:rsidRPr="00FE3F9B" w:rsidR="00FE3F9B">
        <w:rPr>
          <w:lang w:val="fr-FR"/>
        </w:rPr>
        <w:t>’</w:t>
      </w:r>
      <w:r w:rsidRPr="00FE3F9B" w:rsidR="003D2AA6">
        <w:rPr>
          <w:lang w:val="fr-FR"/>
        </w:rPr>
        <w:t xml:space="preserve">une enquête pénale </w:t>
      </w:r>
      <w:r w:rsidRPr="00FE3F9B" w:rsidR="00C27543">
        <w:rPr>
          <w:lang w:val="fr-FR"/>
        </w:rPr>
        <w:t xml:space="preserve">ultérieures, la Cour note que les autorités </w:t>
      </w:r>
      <w:r w:rsidRPr="00FE3F9B" w:rsidR="00C863FF">
        <w:rPr>
          <w:lang w:val="fr-FR"/>
        </w:rPr>
        <w:t>internes</w:t>
      </w:r>
      <w:r w:rsidRPr="00FE3F9B" w:rsidR="00C27543">
        <w:rPr>
          <w:lang w:val="fr-FR"/>
        </w:rPr>
        <w:t xml:space="preserve"> </w:t>
      </w:r>
      <w:r w:rsidRPr="00FE3F9B" w:rsidR="003D2AA6">
        <w:rPr>
          <w:lang w:val="fr-FR"/>
        </w:rPr>
        <w:t xml:space="preserve">ont </w:t>
      </w:r>
      <w:r w:rsidRPr="00FE3F9B" w:rsidR="00C27543">
        <w:rPr>
          <w:lang w:val="fr-FR"/>
        </w:rPr>
        <w:t>passé sous silence les conclusions de l</w:t>
      </w:r>
      <w:r w:rsidRPr="00FE3F9B" w:rsidR="00FE3F9B">
        <w:rPr>
          <w:lang w:val="fr-FR"/>
        </w:rPr>
        <w:t>’</w:t>
      </w:r>
      <w:r w:rsidRPr="00FE3F9B" w:rsidR="00C27543">
        <w:rPr>
          <w:lang w:val="fr-FR"/>
        </w:rPr>
        <w:t xml:space="preserve">expert </w:t>
      </w:r>
      <w:r w:rsidRPr="00FE3F9B" w:rsidR="003D2AA6">
        <w:rPr>
          <w:lang w:val="fr-FR"/>
        </w:rPr>
        <w:t>qui avait</w:t>
      </w:r>
      <w:r w:rsidRPr="00FE3F9B" w:rsidR="006A4728">
        <w:rPr>
          <w:lang w:val="fr-FR"/>
        </w:rPr>
        <w:t xml:space="preserve"> expressément indiqué que les lésions sur le visage et le thorax de la requérante </w:t>
      </w:r>
      <w:r w:rsidRPr="00FE3F9B" w:rsidR="003D2AA6">
        <w:rPr>
          <w:lang w:val="fr-FR"/>
        </w:rPr>
        <w:t>avai</w:t>
      </w:r>
      <w:r w:rsidRPr="00FE3F9B" w:rsidR="00F125D1">
        <w:rPr>
          <w:lang w:val="fr-FR"/>
        </w:rPr>
        <w:t>en</w:t>
      </w:r>
      <w:r w:rsidRPr="00FE3F9B" w:rsidR="003D2AA6">
        <w:rPr>
          <w:lang w:val="fr-FR"/>
        </w:rPr>
        <w:t xml:space="preserve">t </w:t>
      </w:r>
      <w:r w:rsidRPr="00FE3F9B" w:rsidR="006A4728">
        <w:rPr>
          <w:lang w:val="fr-FR"/>
        </w:rPr>
        <w:t xml:space="preserve">été </w:t>
      </w:r>
      <w:r w:rsidRPr="00FE3F9B" w:rsidR="00B91A81">
        <w:rPr>
          <w:lang w:val="fr-FR"/>
        </w:rPr>
        <w:t>causées</w:t>
      </w:r>
      <w:r w:rsidRPr="00FE3F9B" w:rsidR="006A4728">
        <w:rPr>
          <w:lang w:val="fr-FR"/>
        </w:rPr>
        <w:t xml:space="preserve"> </w:t>
      </w:r>
      <w:r w:rsidRPr="00FE3F9B" w:rsidR="00F125D1">
        <w:rPr>
          <w:lang w:val="fr-FR"/>
        </w:rPr>
        <w:t>à celle</w:t>
      </w:r>
      <w:r w:rsidRPr="00FE3F9B" w:rsidR="00F125D1">
        <w:rPr>
          <w:lang w:val="fr-FR"/>
        </w:rPr>
        <w:noBreakHyphen/>
      </w:r>
      <w:r w:rsidRPr="00FE3F9B" w:rsidR="00B91A81">
        <w:rPr>
          <w:lang w:val="fr-FR"/>
        </w:rPr>
        <w:t xml:space="preserve">ci </w:t>
      </w:r>
      <w:r w:rsidRPr="00FE3F9B" w:rsidR="003D2AA6">
        <w:rPr>
          <w:lang w:val="fr-FR"/>
        </w:rPr>
        <w:t xml:space="preserve">« très probablement » </w:t>
      </w:r>
      <w:r w:rsidRPr="00FE3F9B" w:rsidR="006A4728">
        <w:rPr>
          <w:lang w:val="fr-FR"/>
        </w:rPr>
        <w:t xml:space="preserve">trois à quatre jours avant </w:t>
      </w:r>
      <w:r w:rsidRPr="00FE3F9B" w:rsidR="00B91A81">
        <w:rPr>
          <w:lang w:val="fr-FR"/>
        </w:rPr>
        <w:t xml:space="preserve">son </w:t>
      </w:r>
      <w:r w:rsidRPr="00FE3F9B" w:rsidR="006A4728">
        <w:rPr>
          <w:lang w:val="fr-FR"/>
        </w:rPr>
        <w:t xml:space="preserve">examen </w:t>
      </w:r>
      <w:r w:rsidRPr="00FE3F9B" w:rsidR="003D2AA6">
        <w:rPr>
          <w:lang w:val="fr-FR"/>
        </w:rPr>
        <w:t>médical</w:t>
      </w:r>
      <w:r w:rsidRPr="00FE3F9B" w:rsidR="00B91A81">
        <w:rPr>
          <w:lang w:val="fr-FR"/>
        </w:rPr>
        <w:t xml:space="preserve"> en date du</w:t>
      </w:r>
      <w:r w:rsidRPr="00FE3F9B" w:rsidR="006A4728">
        <w:rPr>
          <w:lang w:val="fr-FR"/>
        </w:rPr>
        <w:t xml:space="preserve"> 9 novembre 2001</w:t>
      </w:r>
      <w:r w:rsidRPr="00FE3F9B" w:rsidR="00C863FF">
        <w:rPr>
          <w:lang w:val="fr-FR"/>
        </w:rPr>
        <w:t>. Puisque l</w:t>
      </w:r>
      <w:r w:rsidRPr="00FE3F9B" w:rsidR="00FE3F9B">
        <w:rPr>
          <w:lang w:val="fr-FR"/>
        </w:rPr>
        <w:t>’</w:t>
      </w:r>
      <w:r w:rsidRPr="00FE3F9B" w:rsidR="00C863FF">
        <w:rPr>
          <w:lang w:val="fr-FR"/>
        </w:rPr>
        <w:t>incident du 6 </w:t>
      </w:r>
      <w:r w:rsidRPr="00FE3F9B" w:rsidR="00D80661">
        <w:rPr>
          <w:lang w:val="fr-FR"/>
        </w:rPr>
        <w:t xml:space="preserve">novembre 2001 était couvert par la période </w:t>
      </w:r>
      <w:r w:rsidRPr="00FE3F9B" w:rsidR="00B91A81">
        <w:rPr>
          <w:lang w:val="fr-FR"/>
        </w:rPr>
        <w:t>définie</w:t>
      </w:r>
      <w:r w:rsidRPr="00FE3F9B" w:rsidR="00D80661">
        <w:rPr>
          <w:lang w:val="fr-FR"/>
        </w:rPr>
        <w:t xml:space="preserve"> par l</w:t>
      </w:r>
      <w:r w:rsidRPr="00FE3F9B" w:rsidR="00FE3F9B">
        <w:rPr>
          <w:lang w:val="fr-FR"/>
        </w:rPr>
        <w:t>’</w:t>
      </w:r>
      <w:r w:rsidRPr="00FE3F9B" w:rsidR="00D80661">
        <w:rPr>
          <w:lang w:val="fr-FR"/>
        </w:rPr>
        <w:t>expert, la thèse de la requérante quant à l</w:t>
      </w:r>
      <w:r w:rsidRPr="00FE3F9B" w:rsidR="00FE3F9B">
        <w:rPr>
          <w:lang w:val="fr-FR"/>
        </w:rPr>
        <w:t>’</w:t>
      </w:r>
      <w:r w:rsidRPr="00FE3F9B" w:rsidR="00D80661">
        <w:rPr>
          <w:lang w:val="fr-FR"/>
        </w:rPr>
        <w:t>apparition des lésions était pour le moins défendable. Cependant,</w:t>
      </w:r>
      <w:r w:rsidRPr="00FE3F9B" w:rsidR="00C27543">
        <w:rPr>
          <w:lang w:val="fr-FR"/>
        </w:rPr>
        <w:t xml:space="preserve"> </w:t>
      </w:r>
      <w:r w:rsidRPr="00FE3F9B" w:rsidR="006024C3">
        <w:rPr>
          <w:lang w:val="fr-FR"/>
        </w:rPr>
        <w:t>les autorités chargées de l</w:t>
      </w:r>
      <w:r w:rsidRPr="00FE3F9B" w:rsidR="00FE3F9B">
        <w:rPr>
          <w:lang w:val="fr-FR"/>
        </w:rPr>
        <w:t>’</w:t>
      </w:r>
      <w:r w:rsidRPr="00FE3F9B" w:rsidR="006024C3">
        <w:rPr>
          <w:lang w:val="fr-FR"/>
        </w:rPr>
        <w:t xml:space="preserve">instruction </w:t>
      </w:r>
      <w:r w:rsidRPr="00FE3F9B" w:rsidR="003D1F01">
        <w:rPr>
          <w:lang w:val="fr-FR"/>
        </w:rPr>
        <w:t>n</w:t>
      </w:r>
      <w:r w:rsidRPr="00FE3F9B" w:rsidR="00FE3F9B">
        <w:rPr>
          <w:lang w:val="fr-FR"/>
        </w:rPr>
        <w:t>’</w:t>
      </w:r>
      <w:r w:rsidRPr="00FE3F9B" w:rsidR="006024C3">
        <w:rPr>
          <w:lang w:val="fr-FR"/>
        </w:rPr>
        <w:t xml:space="preserve">ont </w:t>
      </w:r>
      <w:r w:rsidRPr="00FE3F9B" w:rsidR="003D1F01">
        <w:rPr>
          <w:lang w:val="fr-FR"/>
        </w:rPr>
        <w:t xml:space="preserve">pas </w:t>
      </w:r>
      <w:r w:rsidRPr="00FE3F9B" w:rsidR="00C27543">
        <w:rPr>
          <w:lang w:val="fr-FR"/>
        </w:rPr>
        <w:t xml:space="preserve">effectué une analyse objective </w:t>
      </w:r>
      <w:r w:rsidRPr="00FE3F9B" w:rsidR="003D2AA6">
        <w:rPr>
          <w:lang w:val="fr-FR"/>
        </w:rPr>
        <w:t>de ces</w:t>
      </w:r>
      <w:r w:rsidRPr="00FE3F9B" w:rsidR="00C27543">
        <w:rPr>
          <w:lang w:val="fr-FR"/>
        </w:rPr>
        <w:t xml:space="preserve"> constatations médicales. Notamment, elles n</w:t>
      </w:r>
      <w:r w:rsidRPr="00FE3F9B" w:rsidR="00FE3F9B">
        <w:rPr>
          <w:lang w:val="fr-FR"/>
        </w:rPr>
        <w:t>’</w:t>
      </w:r>
      <w:r w:rsidRPr="00FE3F9B" w:rsidR="00C27543">
        <w:rPr>
          <w:lang w:val="fr-FR"/>
        </w:rPr>
        <w:t xml:space="preserve">ont </w:t>
      </w:r>
      <w:r w:rsidRPr="00FE3F9B" w:rsidR="00B91A81">
        <w:rPr>
          <w:lang w:val="fr-FR"/>
        </w:rPr>
        <w:t xml:space="preserve">pas </w:t>
      </w:r>
      <w:r w:rsidRPr="00FE3F9B" w:rsidR="00C27543">
        <w:rPr>
          <w:lang w:val="fr-FR"/>
        </w:rPr>
        <w:t>essayé d</w:t>
      </w:r>
      <w:r w:rsidRPr="00FE3F9B" w:rsidR="00FE3F9B">
        <w:rPr>
          <w:lang w:val="fr-FR"/>
        </w:rPr>
        <w:t>’</w:t>
      </w:r>
      <w:r w:rsidRPr="00FE3F9B" w:rsidR="00C27543">
        <w:rPr>
          <w:lang w:val="fr-FR"/>
        </w:rPr>
        <w:t>expliquer l</w:t>
      </w:r>
      <w:r w:rsidRPr="00FE3F9B" w:rsidR="00FE3F9B">
        <w:rPr>
          <w:lang w:val="fr-FR"/>
        </w:rPr>
        <w:t>’</w:t>
      </w:r>
      <w:r w:rsidRPr="00FE3F9B" w:rsidR="00C27543">
        <w:rPr>
          <w:lang w:val="fr-FR"/>
        </w:rPr>
        <w:t>origine de</w:t>
      </w:r>
      <w:r w:rsidRPr="00FE3F9B" w:rsidR="00B91A81">
        <w:rPr>
          <w:lang w:val="fr-FR"/>
        </w:rPr>
        <w:t>s</w:t>
      </w:r>
      <w:r w:rsidRPr="00FE3F9B" w:rsidR="00C27543">
        <w:rPr>
          <w:lang w:val="fr-FR"/>
        </w:rPr>
        <w:t xml:space="preserve"> contusion</w:t>
      </w:r>
      <w:r w:rsidRPr="00FE3F9B" w:rsidR="00B91A81">
        <w:rPr>
          <w:lang w:val="fr-FR"/>
        </w:rPr>
        <w:t>s</w:t>
      </w:r>
      <w:r w:rsidRPr="00FE3F9B" w:rsidR="00C27543">
        <w:rPr>
          <w:lang w:val="fr-FR"/>
        </w:rPr>
        <w:t xml:space="preserve"> de l</w:t>
      </w:r>
      <w:r w:rsidRPr="00FE3F9B" w:rsidR="00FE3F9B">
        <w:rPr>
          <w:lang w:val="fr-FR"/>
        </w:rPr>
        <w:t>’</w:t>
      </w:r>
      <w:r w:rsidRPr="00FE3F9B" w:rsidR="00C27543">
        <w:rPr>
          <w:lang w:val="fr-FR"/>
        </w:rPr>
        <w:t xml:space="preserve">arcade droite </w:t>
      </w:r>
      <w:r w:rsidRPr="00FE3F9B" w:rsidR="00B91A81">
        <w:rPr>
          <w:lang w:val="fr-FR"/>
        </w:rPr>
        <w:t xml:space="preserve">et </w:t>
      </w:r>
      <w:r w:rsidRPr="00FE3F9B" w:rsidR="00C27543">
        <w:rPr>
          <w:lang w:val="fr-FR"/>
        </w:rPr>
        <w:t xml:space="preserve">du thorax </w:t>
      </w:r>
      <w:r w:rsidRPr="00FE3F9B" w:rsidR="00B91A81">
        <w:rPr>
          <w:lang w:val="fr-FR"/>
        </w:rPr>
        <w:t xml:space="preserve">présentées par </w:t>
      </w:r>
      <w:r w:rsidRPr="00FE3F9B" w:rsidR="00C27543">
        <w:rPr>
          <w:lang w:val="fr-FR"/>
        </w:rPr>
        <w:t>la requérante</w:t>
      </w:r>
      <w:r w:rsidRPr="00FE3F9B" w:rsidR="003D2AA6">
        <w:rPr>
          <w:lang w:val="fr-FR"/>
        </w:rPr>
        <w:t>. Elles n</w:t>
      </w:r>
      <w:r w:rsidRPr="00FE3F9B" w:rsidR="00FE3F9B">
        <w:rPr>
          <w:lang w:val="fr-FR"/>
        </w:rPr>
        <w:t>’</w:t>
      </w:r>
      <w:r w:rsidRPr="00FE3F9B" w:rsidR="003D2AA6">
        <w:rPr>
          <w:lang w:val="fr-FR"/>
        </w:rPr>
        <w:t xml:space="preserve">ont pas </w:t>
      </w:r>
      <w:r w:rsidRPr="00FE3F9B" w:rsidR="00314EE0">
        <w:rPr>
          <w:lang w:val="fr-FR"/>
        </w:rPr>
        <w:t xml:space="preserve">non plus </w:t>
      </w:r>
      <w:r w:rsidRPr="00FE3F9B" w:rsidR="003D2AA6">
        <w:rPr>
          <w:lang w:val="fr-FR"/>
        </w:rPr>
        <w:t xml:space="preserve">cherché à </w:t>
      </w:r>
      <w:r w:rsidRPr="00FE3F9B" w:rsidR="00314EE0">
        <w:rPr>
          <w:lang w:val="fr-FR"/>
        </w:rPr>
        <w:t>établir</w:t>
      </w:r>
      <w:r w:rsidRPr="00FE3F9B" w:rsidR="003D2AA6">
        <w:rPr>
          <w:lang w:val="fr-FR"/>
        </w:rPr>
        <w:t xml:space="preserve"> si </w:t>
      </w:r>
      <w:r w:rsidRPr="00FE3F9B" w:rsidR="00B91A81">
        <w:rPr>
          <w:lang w:val="fr-FR"/>
        </w:rPr>
        <w:t>cette dernière</w:t>
      </w:r>
      <w:r w:rsidRPr="00FE3F9B" w:rsidR="003D2AA6">
        <w:rPr>
          <w:lang w:val="fr-FR"/>
        </w:rPr>
        <w:t xml:space="preserve"> </w:t>
      </w:r>
      <w:r w:rsidRPr="00FE3F9B" w:rsidR="00B91A81">
        <w:rPr>
          <w:lang w:val="fr-FR"/>
        </w:rPr>
        <w:t>présentait</w:t>
      </w:r>
      <w:r w:rsidRPr="00FE3F9B" w:rsidR="003D2AA6">
        <w:rPr>
          <w:lang w:val="fr-FR"/>
        </w:rPr>
        <w:t xml:space="preserve"> </w:t>
      </w:r>
      <w:r w:rsidRPr="00FE3F9B" w:rsidR="00B91A81">
        <w:rPr>
          <w:lang w:val="fr-FR"/>
        </w:rPr>
        <w:t xml:space="preserve">ces contusions </w:t>
      </w:r>
      <w:r w:rsidRPr="00FE3F9B" w:rsidR="00314EE0">
        <w:rPr>
          <w:lang w:val="fr-FR"/>
        </w:rPr>
        <w:t>avant l</w:t>
      </w:r>
      <w:r w:rsidRPr="00FE3F9B" w:rsidR="00FE3F9B">
        <w:rPr>
          <w:lang w:val="fr-FR"/>
        </w:rPr>
        <w:t>’</w:t>
      </w:r>
      <w:r w:rsidRPr="00FE3F9B" w:rsidR="00314EE0">
        <w:rPr>
          <w:lang w:val="fr-FR"/>
        </w:rPr>
        <w:t>intervention des policiers</w:t>
      </w:r>
      <w:r w:rsidRPr="00FE3F9B" w:rsidR="00B91A81">
        <w:rPr>
          <w:lang w:val="fr-FR"/>
        </w:rPr>
        <w:t>, ce qui leur aurait permis de</w:t>
      </w:r>
      <w:r w:rsidRPr="00FE3F9B" w:rsidR="00314EE0">
        <w:rPr>
          <w:lang w:val="fr-FR"/>
        </w:rPr>
        <w:t xml:space="preserve"> réfuter </w:t>
      </w:r>
      <w:r w:rsidRPr="00FE3F9B" w:rsidR="00B91A81">
        <w:rPr>
          <w:lang w:val="fr-FR"/>
        </w:rPr>
        <w:t>l</w:t>
      </w:r>
      <w:r w:rsidRPr="00FE3F9B" w:rsidR="00314EE0">
        <w:rPr>
          <w:lang w:val="fr-FR"/>
        </w:rPr>
        <w:t>a thèse</w:t>
      </w:r>
      <w:r w:rsidRPr="00FE3F9B" w:rsidR="006A0F32">
        <w:rPr>
          <w:lang w:val="fr-FR"/>
        </w:rPr>
        <w:t xml:space="preserve"> </w:t>
      </w:r>
      <w:r w:rsidRPr="00FE3F9B" w:rsidR="00B91A81">
        <w:rPr>
          <w:lang w:val="fr-FR"/>
        </w:rPr>
        <w:t>de l</w:t>
      </w:r>
      <w:r w:rsidRPr="00FE3F9B" w:rsidR="00FE3F9B">
        <w:rPr>
          <w:lang w:val="fr-FR"/>
        </w:rPr>
        <w:t>’</w:t>
      </w:r>
      <w:r w:rsidRPr="00FE3F9B" w:rsidR="00B91A81">
        <w:rPr>
          <w:lang w:val="fr-FR"/>
        </w:rPr>
        <w:t xml:space="preserve">intéressée </w:t>
      </w:r>
      <w:r w:rsidRPr="00FE3F9B" w:rsidR="006A0F32">
        <w:rPr>
          <w:lang w:val="fr-FR"/>
        </w:rPr>
        <w:t>relative à l</w:t>
      </w:r>
      <w:r w:rsidRPr="00FE3F9B" w:rsidR="00FE3F9B">
        <w:rPr>
          <w:lang w:val="fr-FR"/>
        </w:rPr>
        <w:t>’</w:t>
      </w:r>
      <w:r w:rsidRPr="00FE3F9B" w:rsidR="006A0F32">
        <w:rPr>
          <w:lang w:val="fr-FR"/>
        </w:rPr>
        <w:t>origine</w:t>
      </w:r>
      <w:r w:rsidRPr="00FE3F9B" w:rsidR="00B91A81">
        <w:rPr>
          <w:lang w:val="fr-FR"/>
        </w:rPr>
        <w:t xml:space="preserve"> de ces lésions</w:t>
      </w:r>
      <w:r w:rsidRPr="00FE3F9B" w:rsidR="00314EE0">
        <w:rPr>
          <w:lang w:val="fr-FR"/>
        </w:rPr>
        <w:t>.</w:t>
      </w:r>
    </w:p>
    <w:p w:rsidRPr="00FE3F9B" w:rsidR="00953EE7" w:rsidP="00FE3F9B" w:rsidRDefault="00C27543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46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</w:t>
      </w:r>
      <w:r w:rsidRPr="00FE3F9B" w:rsidR="00314EE0">
        <w:rPr>
          <w:lang w:val="fr-FR"/>
        </w:rPr>
        <w:t>La Cour note en</w:t>
      </w:r>
      <w:r w:rsidRPr="00FE3F9B" w:rsidR="00F125D1">
        <w:rPr>
          <w:lang w:val="fr-FR"/>
        </w:rPr>
        <w:t>fin</w:t>
      </w:r>
      <w:r w:rsidRPr="00FE3F9B" w:rsidR="00314EE0">
        <w:rPr>
          <w:lang w:val="fr-FR"/>
        </w:rPr>
        <w:t xml:space="preserve"> que l</w:t>
      </w:r>
      <w:r w:rsidRPr="00FE3F9B" w:rsidR="00FE3F9B">
        <w:rPr>
          <w:lang w:val="fr-FR"/>
        </w:rPr>
        <w:t>’</w:t>
      </w:r>
      <w:r w:rsidRPr="00FE3F9B" w:rsidR="00314EE0">
        <w:rPr>
          <w:lang w:val="fr-FR"/>
        </w:rPr>
        <w:t>enquête n</w:t>
      </w:r>
      <w:r w:rsidRPr="00FE3F9B" w:rsidR="00FE3F9B">
        <w:rPr>
          <w:lang w:val="fr-FR"/>
        </w:rPr>
        <w:t>’</w:t>
      </w:r>
      <w:r w:rsidRPr="00FE3F9B" w:rsidR="00314EE0">
        <w:rPr>
          <w:lang w:val="fr-FR"/>
        </w:rPr>
        <w:t xml:space="preserve">a pas été </w:t>
      </w:r>
      <w:r w:rsidRPr="00FE3F9B" w:rsidR="00D80661">
        <w:rPr>
          <w:lang w:val="fr-FR"/>
        </w:rPr>
        <w:t xml:space="preserve">menée avec </w:t>
      </w:r>
      <w:r w:rsidRPr="00FE3F9B" w:rsidR="00B91A81">
        <w:rPr>
          <w:lang w:val="fr-FR"/>
        </w:rPr>
        <w:t>la</w:t>
      </w:r>
      <w:r w:rsidRPr="00FE3F9B" w:rsidR="00D80661">
        <w:rPr>
          <w:lang w:val="fr-FR"/>
        </w:rPr>
        <w:t xml:space="preserve"> célérité requise puisque</w:t>
      </w:r>
      <w:r w:rsidRPr="00FE3F9B" w:rsidR="00314EE0">
        <w:rPr>
          <w:lang w:val="fr-FR"/>
        </w:rPr>
        <w:t xml:space="preserve"> plusieurs mesures d</w:t>
      </w:r>
      <w:r w:rsidRPr="00FE3F9B" w:rsidR="00FE3F9B">
        <w:rPr>
          <w:lang w:val="fr-FR"/>
        </w:rPr>
        <w:t>’</w:t>
      </w:r>
      <w:r w:rsidRPr="00FE3F9B" w:rsidR="00314EE0">
        <w:rPr>
          <w:lang w:val="fr-FR"/>
        </w:rPr>
        <w:t>in</w:t>
      </w:r>
      <w:r w:rsidRPr="00FE3F9B" w:rsidR="00994964">
        <w:rPr>
          <w:lang w:val="fr-FR"/>
        </w:rPr>
        <w:t>struction</w:t>
      </w:r>
      <w:r w:rsidRPr="00FE3F9B" w:rsidR="00D80661">
        <w:rPr>
          <w:lang w:val="fr-FR"/>
        </w:rPr>
        <w:t xml:space="preserve"> </w:t>
      </w:r>
      <w:r w:rsidRPr="00FE3F9B" w:rsidR="00B91A81">
        <w:rPr>
          <w:lang w:val="fr-FR"/>
        </w:rPr>
        <w:t>ont</w:t>
      </w:r>
      <w:r w:rsidRPr="00FE3F9B" w:rsidR="00314EE0">
        <w:rPr>
          <w:lang w:val="fr-FR"/>
        </w:rPr>
        <w:t xml:space="preserve"> été prises plusieurs années après l</w:t>
      </w:r>
      <w:r w:rsidRPr="00FE3F9B" w:rsidR="00FE3F9B">
        <w:rPr>
          <w:lang w:val="fr-FR"/>
        </w:rPr>
        <w:t>’</w:t>
      </w:r>
      <w:r w:rsidRPr="00FE3F9B" w:rsidR="00314EE0">
        <w:rPr>
          <w:lang w:val="fr-FR"/>
        </w:rPr>
        <w:t xml:space="preserve">incident litigieux </w:t>
      </w:r>
      <w:r w:rsidRPr="00FE3F9B" w:rsidR="00D80661">
        <w:rPr>
          <w:lang w:val="fr-FR"/>
        </w:rPr>
        <w:t>(</w:t>
      </w:r>
      <w:r w:rsidRPr="00FE3F9B" w:rsidR="002D40C9">
        <w:rPr>
          <w:lang w:val="fr-FR"/>
        </w:rPr>
        <w:t xml:space="preserve">paragraphe </w:t>
      </w:r>
      <w:r w:rsidRPr="00FE3F9B" w:rsidR="002D40C9">
        <w:rPr>
          <w:lang w:val="fr-FR"/>
        </w:rPr>
        <w:fldChar w:fldCharType="begin"/>
      </w:r>
      <w:r w:rsidRPr="00FE3F9B" w:rsidR="002D40C9">
        <w:rPr>
          <w:lang w:val="fr-FR"/>
        </w:rPr>
        <w:instrText xml:space="preserve"> REF refpenelem \h </w:instrText>
      </w:r>
      <w:r w:rsidRPr="00FE3F9B" w:rsidR="002D40C9">
        <w:rPr>
          <w:lang w:val="fr-FR"/>
        </w:rPr>
      </w:r>
      <w:r w:rsidRPr="00FE3F9B" w:rsidR="002D40C9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23</w:t>
      </w:r>
      <w:r w:rsidRPr="00FE3F9B" w:rsidR="002D40C9">
        <w:rPr>
          <w:lang w:val="fr-FR"/>
        </w:rPr>
        <w:fldChar w:fldCharType="end"/>
      </w:r>
      <w:r w:rsidRPr="00FE3F9B" w:rsidR="00D80661">
        <w:rPr>
          <w:lang w:val="fr-FR"/>
        </w:rPr>
        <w:t xml:space="preserve"> ci-dessus)</w:t>
      </w:r>
      <w:r w:rsidRPr="00FE3F9B" w:rsidR="00B91A81">
        <w:rPr>
          <w:lang w:val="fr-FR"/>
        </w:rPr>
        <w:t>,</w:t>
      </w:r>
      <w:r w:rsidRPr="00FE3F9B" w:rsidR="00D80661">
        <w:rPr>
          <w:lang w:val="fr-FR"/>
        </w:rPr>
        <w:t xml:space="preserve"> </w:t>
      </w:r>
      <w:r w:rsidRPr="00FE3F9B" w:rsidR="00314EE0">
        <w:rPr>
          <w:lang w:val="fr-FR"/>
        </w:rPr>
        <w:t xml:space="preserve">ce qui a contribué à compromettre </w:t>
      </w:r>
      <w:r w:rsidRPr="00FE3F9B" w:rsidR="00D80661">
        <w:rPr>
          <w:lang w:val="fr-FR"/>
        </w:rPr>
        <w:t>son effectivité.</w:t>
      </w:r>
    </w:p>
    <w:bookmarkStart w:name="viol3" w:id="16"/>
    <w:p w:rsidRPr="00FE3F9B" w:rsidR="00D80661" w:rsidP="00FE3F9B" w:rsidRDefault="00D80661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47</w:t>
      </w:r>
      <w:r w:rsidRPr="00FE3F9B">
        <w:rPr>
          <w:lang w:val="fr-FR"/>
        </w:rPr>
        <w:fldChar w:fldCharType="end"/>
      </w:r>
      <w:bookmarkEnd w:id="16"/>
      <w:r w:rsidRPr="00FE3F9B">
        <w:rPr>
          <w:lang w:val="fr-FR"/>
        </w:rPr>
        <w:t xml:space="preserve">.  Ces éléments </w:t>
      </w:r>
      <w:r w:rsidRPr="00FE3F9B" w:rsidR="00C863FF">
        <w:rPr>
          <w:lang w:val="fr-FR"/>
        </w:rPr>
        <w:t xml:space="preserve">suffisent </w:t>
      </w:r>
      <w:r w:rsidRPr="00FE3F9B" w:rsidR="002D40C9">
        <w:rPr>
          <w:lang w:val="fr-FR"/>
        </w:rPr>
        <w:t xml:space="preserve">à la Cour </w:t>
      </w:r>
      <w:r w:rsidRPr="00FE3F9B" w:rsidR="00C863FF">
        <w:rPr>
          <w:lang w:val="fr-FR"/>
        </w:rPr>
        <w:t>pour conclure que l</w:t>
      </w:r>
      <w:r w:rsidRPr="00FE3F9B" w:rsidR="00FE3F9B">
        <w:rPr>
          <w:lang w:val="fr-FR"/>
        </w:rPr>
        <w:t>’</w:t>
      </w:r>
      <w:r w:rsidRPr="00FE3F9B" w:rsidR="00C863FF">
        <w:rPr>
          <w:lang w:val="fr-FR"/>
        </w:rPr>
        <w:t>enquête</w:t>
      </w:r>
      <w:r w:rsidRPr="00FE3F9B">
        <w:rPr>
          <w:lang w:val="fr-FR"/>
        </w:rPr>
        <w:t xml:space="preserve"> sur l</w:t>
      </w:r>
      <w:r w:rsidRPr="00FE3F9B" w:rsidR="00C863FF">
        <w:rPr>
          <w:lang w:val="fr-FR"/>
        </w:rPr>
        <w:t xml:space="preserve">es </w:t>
      </w:r>
      <w:r w:rsidRPr="00FE3F9B">
        <w:rPr>
          <w:lang w:val="fr-FR"/>
        </w:rPr>
        <w:t>mauvais traitements dont l</w:t>
      </w:r>
      <w:r w:rsidRPr="00FE3F9B" w:rsidR="00C863FF">
        <w:rPr>
          <w:lang w:val="fr-FR"/>
        </w:rPr>
        <w:t xml:space="preserve">a </w:t>
      </w:r>
      <w:r w:rsidRPr="00FE3F9B">
        <w:rPr>
          <w:lang w:val="fr-FR"/>
        </w:rPr>
        <w:t>requérant</w:t>
      </w:r>
      <w:r w:rsidRPr="00FE3F9B" w:rsidR="00C863FF">
        <w:rPr>
          <w:lang w:val="fr-FR"/>
        </w:rPr>
        <w:t>e</w:t>
      </w:r>
      <w:r w:rsidRPr="00FE3F9B">
        <w:rPr>
          <w:lang w:val="fr-FR"/>
        </w:rPr>
        <w:t xml:space="preserve"> avance avoir été victime n</w:t>
      </w:r>
      <w:r w:rsidRPr="00FE3F9B" w:rsidR="00FE3F9B">
        <w:rPr>
          <w:lang w:val="fr-FR"/>
        </w:rPr>
        <w:t>’</w:t>
      </w:r>
      <w:r w:rsidRPr="00FE3F9B" w:rsidR="00C863FF">
        <w:rPr>
          <w:lang w:val="fr-FR"/>
        </w:rPr>
        <w:t>a</w:t>
      </w:r>
      <w:r w:rsidRPr="00FE3F9B">
        <w:rPr>
          <w:lang w:val="fr-FR"/>
        </w:rPr>
        <w:t xml:space="preserve"> pas rempli la condition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effectivité requise.</w:t>
      </w:r>
      <w:r w:rsidRPr="00FE3F9B" w:rsidR="002D40C9">
        <w:rPr>
          <w:lang w:val="fr-FR"/>
        </w:rPr>
        <w:t xml:space="preserve"> </w:t>
      </w:r>
      <w:r w:rsidRPr="00FE3F9B">
        <w:rPr>
          <w:lang w:val="fr-FR"/>
        </w:rPr>
        <w:t>Partant, il y a eu violation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article 3 de la Convention sous son volet procédural.</w:t>
      </w:r>
    </w:p>
    <w:p w:rsidRPr="00FE3F9B" w:rsidR="00D80661" w:rsidP="00FE3F9B" w:rsidRDefault="00D80661">
      <w:pPr>
        <w:pStyle w:val="ECHRHeading4"/>
        <w:rPr>
          <w:lang w:val="fr-FR"/>
        </w:rPr>
      </w:pPr>
      <w:r w:rsidRPr="00FE3F9B">
        <w:rPr>
          <w:lang w:val="fr-FR"/>
        </w:rPr>
        <w:t>b)  Sur les allégations de mauvais traitements</w:t>
      </w:r>
    </w:p>
    <w:p w:rsidRPr="00FE3F9B" w:rsidR="00953EE7" w:rsidP="00FE3F9B" w:rsidRDefault="00CF656C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48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</w:t>
      </w:r>
      <w:r w:rsidRPr="00FE3F9B" w:rsidR="00257A0E">
        <w:rPr>
          <w:lang w:val="fr-FR"/>
        </w:rPr>
        <w:t xml:space="preserve">La Cour </w:t>
      </w:r>
      <w:r w:rsidRPr="00FE3F9B" w:rsidR="001912CA">
        <w:rPr>
          <w:lang w:val="fr-FR"/>
        </w:rPr>
        <w:t xml:space="preserve">rappelle avoir </w:t>
      </w:r>
      <w:r w:rsidRPr="00FE3F9B" w:rsidR="00257A0E">
        <w:rPr>
          <w:lang w:val="fr-FR"/>
        </w:rPr>
        <w:t>précisé que</w:t>
      </w:r>
      <w:r w:rsidRPr="00FE3F9B" w:rsidR="001912CA">
        <w:rPr>
          <w:lang w:val="fr-FR"/>
        </w:rPr>
        <w:t>,</w:t>
      </w:r>
      <w:r w:rsidRPr="00FE3F9B" w:rsidR="00257A0E">
        <w:rPr>
          <w:lang w:val="fr-FR"/>
        </w:rPr>
        <w:t xml:space="preserve"> lorsque les allégations de mauvais traitements concern</w:t>
      </w:r>
      <w:r w:rsidRPr="00FE3F9B" w:rsidR="001912CA">
        <w:rPr>
          <w:lang w:val="fr-FR"/>
        </w:rPr>
        <w:t>aient</w:t>
      </w:r>
      <w:r w:rsidRPr="00FE3F9B" w:rsidR="00257A0E">
        <w:rPr>
          <w:lang w:val="fr-FR"/>
        </w:rPr>
        <w:t xml:space="preserve"> </w:t>
      </w:r>
      <w:r w:rsidRPr="00FE3F9B" w:rsidR="001912CA">
        <w:rPr>
          <w:lang w:val="fr-FR"/>
        </w:rPr>
        <w:t>d</w:t>
      </w:r>
      <w:r w:rsidRPr="00FE3F9B" w:rsidR="00257A0E">
        <w:rPr>
          <w:lang w:val="fr-FR"/>
        </w:rPr>
        <w:t>es év</w:t>
      </w:r>
      <w:r w:rsidRPr="00FE3F9B" w:rsidR="001912CA">
        <w:rPr>
          <w:lang w:val="fr-FR"/>
        </w:rPr>
        <w:t>è</w:t>
      </w:r>
      <w:r w:rsidRPr="00FE3F9B" w:rsidR="00257A0E">
        <w:rPr>
          <w:lang w:val="fr-FR"/>
        </w:rPr>
        <w:t xml:space="preserve">nements qui, dans leur totalité ou pour une large part, </w:t>
      </w:r>
      <w:r w:rsidRPr="00FE3F9B" w:rsidR="001912CA">
        <w:rPr>
          <w:lang w:val="fr-FR"/>
        </w:rPr>
        <w:t>étaient</w:t>
      </w:r>
      <w:r w:rsidRPr="00FE3F9B" w:rsidR="00257A0E">
        <w:rPr>
          <w:lang w:val="fr-FR"/>
        </w:rPr>
        <w:t xml:space="preserve"> connus exclusivement des autorités, comme dans le cas des personnes soumises à leur contrôle en garde à vue, tout</w:t>
      </w:r>
      <w:r w:rsidRPr="00FE3F9B" w:rsidR="00A04B17">
        <w:rPr>
          <w:lang w:val="fr-FR"/>
        </w:rPr>
        <w:t xml:space="preserve"> dommage corporel </w:t>
      </w:r>
      <w:r w:rsidRPr="00FE3F9B" w:rsidR="00257A0E">
        <w:rPr>
          <w:lang w:val="fr-FR"/>
        </w:rPr>
        <w:t>ou décès survenu pendant cette période de détention donn</w:t>
      </w:r>
      <w:r w:rsidRPr="00FE3F9B" w:rsidR="001912CA">
        <w:rPr>
          <w:lang w:val="fr-FR"/>
        </w:rPr>
        <w:t>ait</w:t>
      </w:r>
      <w:r w:rsidRPr="00FE3F9B" w:rsidR="00257A0E">
        <w:rPr>
          <w:lang w:val="fr-FR"/>
        </w:rPr>
        <w:t xml:space="preserve"> lieu à de fortes présomptions de fait (</w:t>
      </w:r>
      <w:r w:rsidRPr="00FE3F9B" w:rsidR="00257A0E">
        <w:rPr>
          <w:i/>
          <w:lang w:val="fr-FR"/>
        </w:rPr>
        <w:t>Bouyid</w:t>
      </w:r>
      <w:r w:rsidRPr="00FE3F9B" w:rsidR="00257A0E">
        <w:rPr>
          <w:lang w:val="fr-FR"/>
        </w:rPr>
        <w:t>, précité, § 83).</w:t>
      </w:r>
    </w:p>
    <w:p w:rsidRPr="00FE3F9B" w:rsidR="00953EE7" w:rsidP="00FE3F9B" w:rsidRDefault="00257A0E">
      <w:pPr>
        <w:pStyle w:val="ECHRPara"/>
        <w:rPr>
          <w:snapToGrid w:val="0"/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49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</w:t>
      </w:r>
      <w:r w:rsidRPr="00FE3F9B" w:rsidR="00673692">
        <w:rPr>
          <w:lang w:val="fr-FR"/>
        </w:rPr>
        <w:t>En l</w:t>
      </w:r>
      <w:r w:rsidRPr="00FE3F9B" w:rsidR="00FE3F9B">
        <w:rPr>
          <w:lang w:val="fr-FR"/>
        </w:rPr>
        <w:t>’</w:t>
      </w:r>
      <w:r w:rsidRPr="00FE3F9B" w:rsidR="00673692">
        <w:rPr>
          <w:lang w:val="fr-FR"/>
        </w:rPr>
        <w:t xml:space="preserve">espèce, </w:t>
      </w:r>
      <w:r w:rsidRPr="00FE3F9B" w:rsidR="00C44A99">
        <w:rPr>
          <w:lang w:val="fr-FR"/>
        </w:rPr>
        <w:t xml:space="preserve">la Cour constate que </w:t>
      </w:r>
      <w:r w:rsidRPr="00FE3F9B" w:rsidR="003A1B76">
        <w:rPr>
          <w:lang w:val="fr-FR"/>
        </w:rPr>
        <w:t>les évènements du 6 novembre 2001 n</w:t>
      </w:r>
      <w:r w:rsidRPr="00FE3F9B" w:rsidR="00FE3F9B">
        <w:rPr>
          <w:lang w:val="fr-FR"/>
        </w:rPr>
        <w:t>’</w:t>
      </w:r>
      <w:r w:rsidRPr="00FE3F9B" w:rsidR="003A1B76">
        <w:rPr>
          <w:lang w:val="fr-FR"/>
        </w:rPr>
        <w:t>étaient pas connus exclusivement des autorités</w:t>
      </w:r>
      <w:r w:rsidRPr="00FE3F9B" w:rsidR="00A41D53">
        <w:rPr>
          <w:lang w:val="fr-FR"/>
        </w:rPr>
        <w:t xml:space="preserve"> puisque l</w:t>
      </w:r>
      <w:r w:rsidRPr="00FE3F9B" w:rsidR="00FE3F9B">
        <w:rPr>
          <w:lang w:val="fr-FR"/>
        </w:rPr>
        <w:t>’</w:t>
      </w:r>
      <w:r w:rsidRPr="00FE3F9B" w:rsidR="00A41D53">
        <w:rPr>
          <w:lang w:val="fr-FR"/>
        </w:rPr>
        <w:t>incident litigieux ne s</w:t>
      </w:r>
      <w:r w:rsidRPr="00FE3F9B" w:rsidR="00FE3F9B">
        <w:rPr>
          <w:lang w:val="fr-FR"/>
        </w:rPr>
        <w:t>’</w:t>
      </w:r>
      <w:r w:rsidRPr="00FE3F9B" w:rsidR="00A41D53">
        <w:rPr>
          <w:lang w:val="fr-FR"/>
        </w:rPr>
        <w:t xml:space="preserve">était pas produit dans une zone placée sous le contrôle </w:t>
      </w:r>
      <w:r w:rsidRPr="00FE3F9B" w:rsidR="00E256B7">
        <w:rPr>
          <w:lang w:val="fr-FR"/>
        </w:rPr>
        <w:t xml:space="preserve">exclusif </w:t>
      </w:r>
      <w:r w:rsidRPr="00FE3F9B" w:rsidR="00A41D53">
        <w:rPr>
          <w:lang w:val="fr-FR"/>
        </w:rPr>
        <w:t>des autorités de l</w:t>
      </w:r>
      <w:r w:rsidRPr="00FE3F9B" w:rsidR="00FE3F9B">
        <w:rPr>
          <w:lang w:val="fr-FR"/>
        </w:rPr>
        <w:t>’</w:t>
      </w:r>
      <w:r w:rsidRPr="00FE3F9B" w:rsidR="008C5FE2">
        <w:rPr>
          <w:lang w:val="fr-FR"/>
        </w:rPr>
        <w:t>État</w:t>
      </w:r>
      <w:r w:rsidRPr="00FE3F9B" w:rsidR="00A41D53">
        <w:rPr>
          <w:lang w:val="fr-FR"/>
        </w:rPr>
        <w:t xml:space="preserve"> (voir, </w:t>
      </w:r>
      <w:r w:rsidRPr="00FE3F9B" w:rsidR="00A41D53">
        <w:rPr>
          <w:i/>
          <w:lang w:val="fr-FR"/>
        </w:rPr>
        <w:t>a contrario</w:t>
      </w:r>
      <w:r w:rsidRPr="00FE3F9B" w:rsidR="00A41D53">
        <w:rPr>
          <w:lang w:val="fr-FR"/>
        </w:rPr>
        <w:t xml:space="preserve">, </w:t>
      </w:r>
      <w:r w:rsidRPr="00FE3F9B" w:rsidR="00FB328A">
        <w:rPr>
          <w:i/>
          <w:lang w:val="fr-FR"/>
        </w:rPr>
        <w:t>Zolotarev c. Russie</w:t>
      </w:r>
      <w:r w:rsidRPr="00FE3F9B" w:rsidR="00FB328A">
        <w:rPr>
          <w:snapToGrid w:val="0"/>
          <w:szCs w:val="24"/>
          <w:lang w:val="fr-FR"/>
        </w:rPr>
        <w:t>, n</w:t>
      </w:r>
      <w:r w:rsidRPr="00FE3F9B" w:rsidR="00FB328A">
        <w:rPr>
          <w:snapToGrid w:val="0"/>
          <w:szCs w:val="24"/>
          <w:vertAlign w:val="superscript"/>
          <w:lang w:val="fr-FR"/>
        </w:rPr>
        <w:t>o</w:t>
      </w:r>
      <w:r w:rsidRPr="00FE3F9B" w:rsidR="00FB328A">
        <w:rPr>
          <w:snapToGrid w:val="0"/>
          <w:szCs w:val="24"/>
          <w:lang w:val="fr-FR"/>
        </w:rPr>
        <w:t xml:space="preserve"> </w:t>
      </w:r>
      <w:r w:rsidRPr="00FE3F9B" w:rsidR="00FB328A">
        <w:rPr>
          <w:lang w:val="fr-FR"/>
        </w:rPr>
        <w:t>43083/06, §§ 8 et 48, 15</w:t>
      </w:r>
      <w:r w:rsidRPr="00FE3F9B" w:rsidR="002D40C9">
        <w:rPr>
          <w:lang w:val="fr-FR"/>
        </w:rPr>
        <w:t> </w:t>
      </w:r>
      <w:r w:rsidRPr="00FE3F9B" w:rsidR="00FB328A">
        <w:rPr>
          <w:lang w:val="fr-FR"/>
        </w:rPr>
        <w:t>novembre 2016,</w:t>
      </w:r>
      <w:r w:rsidRPr="00FE3F9B" w:rsidR="00A41D53">
        <w:rPr>
          <w:lang w:val="fr-FR"/>
        </w:rPr>
        <w:t xml:space="preserve"> </w:t>
      </w:r>
      <w:r w:rsidRPr="00FE3F9B" w:rsidR="00C44A99">
        <w:rPr>
          <w:lang w:val="fr-FR"/>
        </w:rPr>
        <w:t xml:space="preserve">et </w:t>
      </w:r>
      <w:r w:rsidRPr="00FE3F9B" w:rsidR="00C23A5D">
        <w:rPr>
          <w:i/>
          <w:lang w:val="fr-FR"/>
        </w:rPr>
        <w:t>Ablyazov c. Russie</w:t>
      </w:r>
      <w:r w:rsidRPr="00FE3F9B" w:rsidR="00C23A5D">
        <w:rPr>
          <w:lang w:val="fr-FR"/>
        </w:rPr>
        <w:t>, n</w:t>
      </w:r>
      <w:r w:rsidRPr="00FE3F9B" w:rsidR="00C23A5D">
        <w:rPr>
          <w:vertAlign w:val="superscript"/>
          <w:lang w:val="fr-FR"/>
        </w:rPr>
        <w:t>o</w:t>
      </w:r>
      <w:r w:rsidRPr="00FE3F9B" w:rsidR="0066398F">
        <w:rPr>
          <w:lang w:val="fr-FR"/>
        </w:rPr>
        <w:t> </w:t>
      </w:r>
      <w:r w:rsidRPr="00FE3F9B" w:rsidR="00C23A5D">
        <w:rPr>
          <w:lang w:val="fr-FR"/>
        </w:rPr>
        <w:t>22867/05</w:t>
      </w:r>
      <w:r w:rsidRPr="00FE3F9B" w:rsidR="00C23A5D">
        <w:rPr>
          <w:snapToGrid w:val="0"/>
          <w:lang w:val="fr-FR"/>
        </w:rPr>
        <w:t>, §</w:t>
      </w:r>
      <w:r w:rsidRPr="00FE3F9B" w:rsidR="00994964">
        <w:rPr>
          <w:snapToGrid w:val="0"/>
          <w:lang w:val="fr-FR"/>
        </w:rPr>
        <w:t>§</w:t>
      </w:r>
      <w:r w:rsidRPr="00FE3F9B" w:rsidR="005043CD">
        <w:rPr>
          <w:snapToGrid w:val="0"/>
          <w:lang w:val="fr-FR"/>
        </w:rPr>
        <w:t> 6 et </w:t>
      </w:r>
      <w:r w:rsidRPr="00FE3F9B" w:rsidR="00C23A5D">
        <w:rPr>
          <w:snapToGrid w:val="0"/>
          <w:lang w:val="fr-FR"/>
        </w:rPr>
        <w:t>49</w:t>
      </w:r>
      <w:r w:rsidRPr="00FE3F9B" w:rsidR="00635120">
        <w:rPr>
          <w:snapToGrid w:val="0"/>
          <w:lang w:val="fr-FR"/>
        </w:rPr>
        <w:t>, 30 </w:t>
      </w:r>
      <w:r w:rsidRPr="00FE3F9B" w:rsidR="00C23A5D">
        <w:rPr>
          <w:lang w:val="fr-FR"/>
        </w:rPr>
        <w:t>octobre</w:t>
      </w:r>
      <w:r w:rsidRPr="00FE3F9B" w:rsidR="00C23A5D">
        <w:rPr>
          <w:snapToGrid w:val="0"/>
          <w:lang w:val="fr-FR"/>
        </w:rPr>
        <w:t xml:space="preserve"> 2012</w:t>
      </w:r>
      <w:r w:rsidRPr="00FE3F9B" w:rsidR="007538DD">
        <w:rPr>
          <w:snapToGrid w:val="0"/>
          <w:lang w:val="fr-FR"/>
        </w:rPr>
        <w:t xml:space="preserve">). </w:t>
      </w:r>
      <w:r w:rsidRPr="00FE3F9B" w:rsidR="00192EA6">
        <w:rPr>
          <w:snapToGrid w:val="0"/>
          <w:lang w:val="fr-FR"/>
        </w:rPr>
        <w:t>Il n</w:t>
      </w:r>
      <w:r w:rsidRPr="00FE3F9B" w:rsidR="00FE3F9B">
        <w:rPr>
          <w:snapToGrid w:val="0"/>
          <w:lang w:val="fr-FR"/>
        </w:rPr>
        <w:t>’</w:t>
      </w:r>
      <w:r w:rsidRPr="00FE3F9B" w:rsidR="00192EA6">
        <w:rPr>
          <w:snapToGrid w:val="0"/>
          <w:lang w:val="fr-FR"/>
        </w:rPr>
        <w:t>en reste pas moins que,</w:t>
      </w:r>
      <w:r w:rsidRPr="00FE3F9B" w:rsidR="007538DD">
        <w:rPr>
          <w:snapToGrid w:val="0"/>
          <w:lang w:val="fr-FR"/>
        </w:rPr>
        <w:t xml:space="preserve"> </w:t>
      </w:r>
      <w:r w:rsidRPr="00FE3F9B" w:rsidR="0066398F">
        <w:rPr>
          <w:snapToGrid w:val="0"/>
          <w:lang w:val="fr-FR"/>
        </w:rPr>
        <w:t>lors des évènements litigieux</w:t>
      </w:r>
      <w:r w:rsidRPr="00FE3F9B" w:rsidR="005E64FB">
        <w:rPr>
          <w:snapToGrid w:val="0"/>
          <w:lang w:val="fr-FR"/>
        </w:rPr>
        <w:t>,</w:t>
      </w:r>
      <w:r w:rsidRPr="00FE3F9B" w:rsidR="0066398F">
        <w:rPr>
          <w:snapToGrid w:val="0"/>
          <w:lang w:val="fr-FR"/>
        </w:rPr>
        <w:t xml:space="preserve"> </w:t>
      </w:r>
      <w:r w:rsidRPr="00FE3F9B" w:rsidR="007538DD">
        <w:rPr>
          <w:snapToGrid w:val="0"/>
          <w:lang w:val="fr-FR"/>
        </w:rPr>
        <w:t xml:space="preserve">les policiers P. et T. agissaient en leur qualité officielle </w:t>
      </w:r>
      <w:r w:rsidRPr="00FE3F9B" w:rsidR="00C44A99">
        <w:rPr>
          <w:snapToGrid w:val="0"/>
          <w:lang w:val="fr-FR"/>
        </w:rPr>
        <w:t>de personnes dépositaires de l</w:t>
      </w:r>
      <w:r w:rsidRPr="00FE3F9B" w:rsidR="00FE3F9B">
        <w:rPr>
          <w:snapToGrid w:val="0"/>
          <w:lang w:val="fr-FR"/>
        </w:rPr>
        <w:t>’</w:t>
      </w:r>
      <w:r w:rsidRPr="00FE3F9B" w:rsidR="00C44A99">
        <w:rPr>
          <w:snapToGrid w:val="0"/>
          <w:lang w:val="fr-FR"/>
        </w:rPr>
        <w:t xml:space="preserve">autorité publique </w:t>
      </w:r>
      <w:r w:rsidRPr="00FE3F9B" w:rsidR="007538DD">
        <w:rPr>
          <w:snapToGrid w:val="0"/>
          <w:lang w:val="fr-FR"/>
        </w:rPr>
        <w:t>et qu</w:t>
      </w:r>
      <w:r w:rsidRPr="00FE3F9B" w:rsidR="00FE3F9B">
        <w:rPr>
          <w:snapToGrid w:val="0"/>
          <w:lang w:val="fr-FR"/>
        </w:rPr>
        <w:t>’</w:t>
      </w:r>
      <w:r w:rsidRPr="00FE3F9B" w:rsidR="0066398F">
        <w:rPr>
          <w:snapToGrid w:val="0"/>
          <w:lang w:val="fr-FR"/>
        </w:rPr>
        <w:t>en</w:t>
      </w:r>
      <w:r w:rsidRPr="00FE3F9B" w:rsidR="007538DD">
        <w:rPr>
          <w:snapToGrid w:val="0"/>
          <w:lang w:val="fr-FR"/>
        </w:rPr>
        <w:t xml:space="preserve"> </w:t>
      </w:r>
      <w:r w:rsidRPr="00FE3F9B" w:rsidR="0066398F">
        <w:rPr>
          <w:snapToGrid w:val="0"/>
          <w:lang w:val="fr-FR"/>
        </w:rPr>
        <w:t xml:space="preserve">vertu de la loi </w:t>
      </w:r>
      <w:r w:rsidRPr="00FE3F9B" w:rsidR="007538DD">
        <w:rPr>
          <w:snapToGrid w:val="0"/>
          <w:lang w:val="fr-FR"/>
        </w:rPr>
        <w:t xml:space="preserve">la requérante était </w:t>
      </w:r>
      <w:r w:rsidRPr="00FE3F9B" w:rsidR="0066398F">
        <w:rPr>
          <w:snapToGrid w:val="0"/>
          <w:lang w:val="fr-FR"/>
        </w:rPr>
        <w:t>tenu</w:t>
      </w:r>
      <w:r w:rsidRPr="00FE3F9B" w:rsidR="0092652A">
        <w:rPr>
          <w:snapToGrid w:val="0"/>
          <w:lang w:val="fr-FR"/>
        </w:rPr>
        <w:t>e</w:t>
      </w:r>
      <w:r w:rsidRPr="00FE3F9B" w:rsidR="0066398F">
        <w:rPr>
          <w:snapToGrid w:val="0"/>
          <w:lang w:val="fr-FR"/>
        </w:rPr>
        <w:t xml:space="preserve"> d</w:t>
      </w:r>
      <w:r w:rsidRPr="00FE3F9B" w:rsidR="00FE3F9B">
        <w:rPr>
          <w:snapToGrid w:val="0"/>
          <w:lang w:val="fr-FR"/>
        </w:rPr>
        <w:t>’</w:t>
      </w:r>
      <w:r w:rsidRPr="00FE3F9B" w:rsidR="0066398F">
        <w:rPr>
          <w:snapToGrid w:val="0"/>
          <w:lang w:val="fr-FR"/>
        </w:rPr>
        <w:t>obéir à tout ordre légal émanant de leur part (</w:t>
      </w:r>
      <w:r w:rsidRPr="00FE3F9B" w:rsidR="002D40C9">
        <w:rPr>
          <w:i/>
          <w:lang w:val="fr-FR"/>
        </w:rPr>
        <w:t>Shamardakov c. R</w:t>
      </w:r>
      <w:r w:rsidRPr="00FE3F9B">
        <w:rPr>
          <w:i/>
          <w:lang w:val="fr-FR"/>
        </w:rPr>
        <w:t>ussie</w:t>
      </w:r>
      <w:r w:rsidRPr="00FE3F9B">
        <w:rPr>
          <w:lang w:val="fr-FR"/>
        </w:rPr>
        <w:t>, n</w:t>
      </w:r>
      <w:r w:rsidRPr="00FE3F9B">
        <w:rPr>
          <w:vertAlign w:val="superscript"/>
          <w:lang w:val="fr-FR"/>
        </w:rPr>
        <w:t>o</w:t>
      </w:r>
      <w:r w:rsidRPr="00FE3F9B" w:rsidR="002D40C9">
        <w:rPr>
          <w:lang w:val="fr-FR"/>
        </w:rPr>
        <w:t> </w:t>
      </w:r>
      <w:r w:rsidRPr="00FE3F9B">
        <w:rPr>
          <w:lang w:val="fr-FR"/>
        </w:rPr>
        <w:t>13810/04</w:t>
      </w:r>
      <w:r w:rsidRPr="00FE3F9B">
        <w:rPr>
          <w:snapToGrid w:val="0"/>
          <w:lang w:val="fr-FR"/>
        </w:rPr>
        <w:t xml:space="preserve">, § 95, </w:t>
      </w:r>
      <w:r w:rsidRPr="00FE3F9B">
        <w:rPr>
          <w:lang w:val="fr-FR"/>
        </w:rPr>
        <w:t>30</w:t>
      </w:r>
      <w:r w:rsidRPr="00FE3F9B">
        <w:rPr>
          <w:snapToGrid w:val="0"/>
          <w:lang w:val="fr-FR"/>
        </w:rPr>
        <w:t xml:space="preserve"> </w:t>
      </w:r>
      <w:r w:rsidRPr="00FE3F9B">
        <w:rPr>
          <w:lang w:val="fr-FR"/>
        </w:rPr>
        <w:t>avril</w:t>
      </w:r>
      <w:r w:rsidRPr="00FE3F9B">
        <w:rPr>
          <w:snapToGrid w:val="0"/>
          <w:lang w:val="fr-FR"/>
        </w:rPr>
        <w:t xml:space="preserve"> 2015</w:t>
      </w:r>
      <w:r w:rsidRPr="00FE3F9B" w:rsidR="0066398F">
        <w:rPr>
          <w:snapToGrid w:val="0"/>
          <w:lang w:val="fr-FR"/>
        </w:rPr>
        <w:t>)</w:t>
      </w:r>
      <w:r w:rsidRPr="00FE3F9B" w:rsidR="00C44A99">
        <w:rPr>
          <w:snapToGrid w:val="0"/>
          <w:lang w:val="fr-FR"/>
        </w:rPr>
        <w:t>,</w:t>
      </w:r>
      <w:r w:rsidRPr="00FE3F9B" w:rsidR="00192EA6">
        <w:rPr>
          <w:snapToGrid w:val="0"/>
          <w:lang w:val="fr-FR"/>
        </w:rPr>
        <w:t xml:space="preserve"> ce qui n</w:t>
      </w:r>
      <w:r w:rsidRPr="00FE3F9B" w:rsidR="00FE3F9B">
        <w:rPr>
          <w:snapToGrid w:val="0"/>
          <w:lang w:val="fr-FR"/>
        </w:rPr>
        <w:t>’</w:t>
      </w:r>
      <w:r w:rsidRPr="00FE3F9B" w:rsidR="00192EA6">
        <w:rPr>
          <w:snapToGrid w:val="0"/>
          <w:lang w:val="fr-FR"/>
        </w:rPr>
        <w:t>est pas contesté par le Gouvernement</w:t>
      </w:r>
      <w:r w:rsidRPr="00FE3F9B" w:rsidR="002D40C9">
        <w:rPr>
          <w:snapToGrid w:val="0"/>
          <w:lang w:val="fr-FR"/>
        </w:rPr>
        <w:t xml:space="preserve"> (paragraphe </w:t>
      </w:r>
      <w:r w:rsidRPr="00FE3F9B" w:rsidR="002D40C9">
        <w:rPr>
          <w:snapToGrid w:val="0"/>
          <w:lang w:val="fr-FR"/>
        </w:rPr>
        <w:fldChar w:fldCharType="begin"/>
      </w:r>
      <w:r w:rsidRPr="00FE3F9B" w:rsidR="002D40C9">
        <w:rPr>
          <w:snapToGrid w:val="0"/>
          <w:lang w:val="fr-FR"/>
        </w:rPr>
        <w:instrText xml:space="preserve"> REF versgouv1 \h </w:instrText>
      </w:r>
      <w:r w:rsidRPr="00FE3F9B" w:rsidR="002D40C9">
        <w:rPr>
          <w:snapToGrid w:val="0"/>
          <w:lang w:val="fr-FR"/>
        </w:rPr>
      </w:r>
      <w:r w:rsidRPr="00FE3F9B" w:rsidR="002D40C9">
        <w:rPr>
          <w:snapToGrid w:val="0"/>
          <w:lang w:val="fr-FR"/>
        </w:rPr>
        <w:fldChar w:fldCharType="separate"/>
      </w:r>
      <w:r w:rsidRPr="00FE3F9B" w:rsidR="00FE3F9B">
        <w:rPr>
          <w:noProof/>
          <w:lang w:val="fr-FR"/>
        </w:rPr>
        <w:t>10</w:t>
      </w:r>
      <w:r w:rsidRPr="00FE3F9B" w:rsidR="002D40C9">
        <w:rPr>
          <w:snapToGrid w:val="0"/>
          <w:lang w:val="fr-FR"/>
        </w:rPr>
        <w:fldChar w:fldCharType="end"/>
      </w:r>
      <w:r w:rsidRPr="00FE3F9B" w:rsidR="002D40C9">
        <w:rPr>
          <w:snapToGrid w:val="0"/>
          <w:lang w:val="fr-FR"/>
        </w:rPr>
        <w:t xml:space="preserve"> ci</w:t>
      </w:r>
      <w:r w:rsidRPr="00FE3F9B" w:rsidR="002D40C9">
        <w:rPr>
          <w:snapToGrid w:val="0"/>
          <w:lang w:val="fr-FR"/>
        </w:rPr>
        <w:noBreakHyphen/>
        <w:t>dessus)</w:t>
      </w:r>
      <w:r w:rsidRPr="00FE3F9B" w:rsidR="0066398F">
        <w:rPr>
          <w:snapToGrid w:val="0"/>
          <w:lang w:val="fr-FR"/>
        </w:rPr>
        <w:t>. La Cour estime donc que le 6 novembre 200</w:t>
      </w:r>
      <w:r w:rsidRPr="00FE3F9B" w:rsidR="00A9532B">
        <w:rPr>
          <w:snapToGrid w:val="0"/>
          <w:lang w:val="fr-FR"/>
        </w:rPr>
        <w:t>1,</w:t>
      </w:r>
      <w:r w:rsidRPr="00FE3F9B" w:rsidR="0066398F">
        <w:rPr>
          <w:snapToGrid w:val="0"/>
          <w:lang w:val="fr-FR"/>
        </w:rPr>
        <w:t xml:space="preserve"> </w:t>
      </w:r>
      <w:r w:rsidRPr="00FE3F9B" w:rsidR="00C44A99">
        <w:rPr>
          <w:snapToGrid w:val="0"/>
          <w:lang w:val="fr-FR"/>
        </w:rPr>
        <w:t xml:space="preserve">au cours de </w:t>
      </w:r>
      <w:r w:rsidRPr="00FE3F9B" w:rsidR="0066398F">
        <w:rPr>
          <w:snapToGrid w:val="0"/>
          <w:lang w:val="fr-FR"/>
        </w:rPr>
        <w:t>la visite des policiers P. et T.</w:t>
      </w:r>
      <w:r w:rsidRPr="00FE3F9B" w:rsidR="00A9532B">
        <w:rPr>
          <w:snapToGrid w:val="0"/>
          <w:lang w:val="fr-FR"/>
        </w:rPr>
        <w:t xml:space="preserve"> </w:t>
      </w:r>
      <w:r w:rsidRPr="00FE3F9B" w:rsidR="00C44A99">
        <w:rPr>
          <w:snapToGrid w:val="0"/>
          <w:lang w:val="fr-FR"/>
        </w:rPr>
        <w:t>au domicile</w:t>
      </w:r>
      <w:r w:rsidRPr="00FE3F9B" w:rsidR="00A9532B">
        <w:rPr>
          <w:snapToGrid w:val="0"/>
          <w:lang w:val="fr-FR"/>
        </w:rPr>
        <w:t xml:space="preserve"> de R.,</w:t>
      </w:r>
      <w:r w:rsidRPr="00FE3F9B" w:rsidR="0066398F">
        <w:rPr>
          <w:snapToGrid w:val="0"/>
          <w:lang w:val="fr-FR"/>
        </w:rPr>
        <w:t xml:space="preserve"> la requérante se trouvait sous </w:t>
      </w:r>
      <w:r w:rsidRPr="00FE3F9B" w:rsidR="00056086">
        <w:rPr>
          <w:snapToGrid w:val="0"/>
          <w:lang w:val="fr-FR"/>
        </w:rPr>
        <w:t xml:space="preserve">le </w:t>
      </w:r>
      <w:r w:rsidRPr="00FE3F9B" w:rsidR="0066398F">
        <w:rPr>
          <w:snapToGrid w:val="0"/>
          <w:lang w:val="fr-FR"/>
        </w:rPr>
        <w:t>« contrôle » des autorités de l</w:t>
      </w:r>
      <w:r w:rsidRPr="00FE3F9B" w:rsidR="00FE3F9B">
        <w:rPr>
          <w:snapToGrid w:val="0"/>
          <w:lang w:val="fr-FR"/>
        </w:rPr>
        <w:t>’</w:t>
      </w:r>
      <w:r w:rsidRPr="00FE3F9B" w:rsidR="0066398F">
        <w:rPr>
          <w:snapToGrid w:val="0"/>
          <w:lang w:val="fr-FR"/>
        </w:rPr>
        <w:t>État.</w:t>
      </w:r>
    </w:p>
    <w:p w:rsidRPr="00FE3F9B" w:rsidR="00F52EC6" w:rsidP="00FE3F9B" w:rsidRDefault="00454C1E">
      <w:pPr>
        <w:pStyle w:val="ECHRPara"/>
        <w:rPr>
          <w:i/>
          <w:lang w:val="fr-FR"/>
        </w:rPr>
      </w:pPr>
      <w:r w:rsidRPr="00FE3F9B">
        <w:rPr>
          <w:snapToGrid w:val="0"/>
          <w:lang w:val="fr-FR"/>
        </w:rPr>
        <w:fldChar w:fldCharType="begin"/>
      </w:r>
      <w:r w:rsidRPr="00FE3F9B">
        <w:rPr>
          <w:snapToGrid w:val="0"/>
          <w:lang w:val="fr-FR"/>
        </w:rPr>
        <w:instrText xml:space="preserve"> SEQ level0 \*arabic </w:instrText>
      </w:r>
      <w:r w:rsidRPr="00FE3F9B">
        <w:rPr>
          <w:snapToGrid w:val="0"/>
          <w:lang w:val="fr-FR"/>
        </w:rPr>
        <w:fldChar w:fldCharType="separate"/>
      </w:r>
      <w:r w:rsidRPr="00FE3F9B" w:rsidR="00FE3F9B">
        <w:rPr>
          <w:noProof/>
          <w:snapToGrid w:val="0"/>
          <w:lang w:val="fr-FR"/>
        </w:rPr>
        <w:t>50</w:t>
      </w:r>
      <w:r w:rsidRPr="00FE3F9B">
        <w:rPr>
          <w:snapToGrid w:val="0"/>
          <w:lang w:val="fr-FR"/>
        </w:rPr>
        <w:fldChar w:fldCharType="end"/>
      </w:r>
      <w:r w:rsidRPr="00FE3F9B">
        <w:rPr>
          <w:snapToGrid w:val="0"/>
          <w:lang w:val="fr-FR"/>
        </w:rPr>
        <w:t>.  </w:t>
      </w:r>
      <w:r w:rsidRPr="00FE3F9B" w:rsidR="00EC1BE8">
        <w:rPr>
          <w:snapToGrid w:val="0"/>
          <w:lang w:val="fr-FR"/>
        </w:rPr>
        <w:t xml:space="preserve">Compte tenu de la thèse du Gouvernement selon </w:t>
      </w:r>
      <w:r w:rsidRPr="00FE3F9B" w:rsidR="00635120">
        <w:rPr>
          <w:snapToGrid w:val="0"/>
          <w:lang w:val="fr-FR"/>
        </w:rPr>
        <w:t xml:space="preserve">laquelle </w:t>
      </w:r>
      <w:r w:rsidRPr="00FE3F9B" w:rsidR="00EC1BE8">
        <w:rPr>
          <w:snapToGrid w:val="0"/>
          <w:lang w:val="fr-FR"/>
        </w:rPr>
        <w:t xml:space="preserve">les policiers P. et T. </w:t>
      </w:r>
      <w:r w:rsidRPr="00FE3F9B" w:rsidR="0097121D">
        <w:rPr>
          <w:snapToGrid w:val="0"/>
          <w:lang w:val="fr-FR"/>
        </w:rPr>
        <w:t>avaient</w:t>
      </w:r>
      <w:r w:rsidRPr="00FE3F9B" w:rsidR="00EC1BE8">
        <w:rPr>
          <w:snapToGrid w:val="0"/>
          <w:lang w:val="fr-FR"/>
        </w:rPr>
        <w:t xml:space="preserve"> pris la décision d</w:t>
      </w:r>
      <w:r w:rsidRPr="00FE3F9B" w:rsidR="00FE3F9B">
        <w:rPr>
          <w:snapToGrid w:val="0"/>
          <w:lang w:val="fr-FR"/>
        </w:rPr>
        <w:t>’</w:t>
      </w:r>
      <w:r w:rsidRPr="00FE3F9B" w:rsidR="00EC1BE8">
        <w:rPr>
          <w:snapToGrid w:val="0"/>
          <w:lang w:val="fr-FR"/>
        </w:rPr>
        <w:t>emmener la requérante au commissariat au motif qu</w:t>
      </w:r>
      <w:r w:rsidRPr="00FE3F9B" w:rsidR="00FE3F9B">
        <w:rPr>
          <w:snapToGrid w:val="0"/>
          <w:lang w:val="fr-FR"/>
        </w:rPr>
        <w:t>’</w:t>
      </w:r>
      <w:r w:rsidRPr="00FE3F9B" w:rsidR="00EC1BE8">
        <w:rPr>
          <w:snapToGrid w:val="0"/>
          <w:lang w:val="fr-FR"/>
        </w:rPr>
        <w:t>elle a</w:t>
      </w:r>
      <w:r w:rsidRPr="00FE3F9B" w:rsidR="00C44A99">
        <w:rPr>
          <w:snapToGrid w:val="0"/>
          <w:lang w:val="fr-FR"/>
        </w:rPr>
        <w:t>v</w:t>
      </w:r>
      <w:r w:rsidRPr="00FE3F9B" w:rsidR="00EC1BE8">
        <w:rPr>
          <w:snapToGrid w:val="0"/>
          <w:lang w:val="fr-FR"/>
        </w:rPr>
        <w:t xml:space="preserve">ait commis </w:t>
      </w:r>
      <w:r w:rsidRPr="00FE3F9B" w:rsidR="00056086">
        <w:rPr>
          <w:snapToGrid w:val="0"/>
          <w:lang w:val="fr-FR"/>
        </w:rPr>
        <w:t>l</w:t>
      </w:r>
      <w:r w:rsidRPr="00FE3F9B" w:rsidR="00FE3F9B">
        <w:rPr>
          <w:snapToGrid w:val="0"/>
          <w:lang w:val="fr-FR"/>
        </w:rPr>
        <w:t>’</w:t>
      </w:r>
      <w:r w:rsidRPr="00FE3F9B" w:rsidR="00EC1BE8">
        <w:rPr>
          <w:snapToGrid w:val="0"/>
          <w:lang w:val="fr-FR"/>
        </w:rPr>
        <w:t>infraction d</w:t>
      </w:r>
      <w:r w:rsidRPr="00FE3F9B" w:rsidR="00FE3F9B">
        <w:rPr>
          <w:snapToGrid w:val="0"/>
          <w:lang w:val="fr-FR"/>
        </w:rPr>
        <w:t>’</w:t>
      </w:r>
      <w:r w:rsidRPr="00FE3F9B" w:rsidR="00EC1BE8">
        <w:rPr>
          <w:snapToGrid w:val="0"/>
          <w:lang w:val="fr-FR"/>
        </w:rPr>
        <w:t>outrage à un</w:t>
      </w:r>
      <w:r w:rsidRPr="00FE3F9B" w:rsidR="00D02C41">
        <w:rPr>
          <w:snapToGrid w:val="0"/>
          <w:lang w:val="fr-FR"/>
        </w:rPr>
        <w:t>e personne</w:t>
      </w:r>
      <w:r w:rsidRPr="00FE3F9B" w:rsidR="00EC1BE8">
        <w:rPr>
          <w:snapToGrid w:val="0"/>
          <w:lang w:val="fr-FR"/>
        </w:rPr>
        <w:t xml:space="preserve"> dépositaire d</w:t>
      </w:r>
      <w:r w:rsidRPr="00FE3F9B" w:rsidR="00D02C41">
        <w:rPr>
          <w:snapToGrid w:val="0"/>
          <w:lang w:val="fr-FR"/>
        </w:rPr>
        <w:t>e l</w:t>
      </w:r>
      <w:r w:rsidRPr="00FE3F9B" w:rsidR="00FE3F9B">
        <w:rPr>
          <w:snapToGrid w:val="0"/>
          <w:lang w:val="fr-FR"/>
        </w:rPr>
        <w:t>’</w:t>
      </w:r>
      <w:r w:rsidRPr="00FE3F9B" w:rsidR="00D02C41">
        <w:rPr>
          <w:snapToGrid w:val="0"/>
          <w:lang w:val="fr-FR"/>
        </w:rPr>
        <w:t>autorité</w:t>
      </w:r>
      <w:r w:rsidRPr="00FE3F9B" w:rsidR="00EC1BE8">
        <w:rPr>
          <w:snapToGrid w:val="0"/>
          <w:lang w:val="fr-FR"/>
        </w:rPr>
        <w:t xml:space="preserve"> publi</w:t>
      </w:r>
      <w:r w:rsidRPr="00FE3F9B" w:rsidR="00D02C41">
        <w:rPr>
          <w:snapToGrid w:val="0"/>
          <w:lang w:val="fr-FR"/>
        </w:rPr>
        <w:t>que</w:t>
      </w:r>
      <w:r w:rsidRPr="00FE3F9B" w:rsidR="00EC1BE8">
        <w:rPr>
          <w:snapToGrid w:val="0"/>
          <w:lang w:val="fr-FR"/>
        </w:rPr>
        <w:t>, la Cour estime que la requérante s</w:t>
      </w:r>
      <w:r w:rsidRPr="00FE3F9B" w:rsidR="00FE3F9B">
        <w:rPr>
          <w:snapToGrid w:val="0"/>
          <w:lang w:val="fr-FR"/>
        </w:rPr>
        <w:t>’</w:t>
      </w:r>
      <w:r w:rsidRPr="00FE3F9B" w:rsidR="00EC1BE8">
        <w:rPr>
          <w:snapToGrid w:val="0"/>
          <w:lang w:val="fr-FR"/>
        </w:rPr>
        <w:t>est retrouvée dans une situation d</w:t>
      </w:r>
      <w:r w:rsidRPr="00FE3F9B" w:rsidR="00FE3F9B">
        <w:rPr>
          <w:snapToGrid w:val="0"/>
          <w:lang w:val="fr-FR"/>
        </w:rPr>
        <w:t>’</w:t>
      </w:r>
      <w:r w:rsidRPr="00FE3F9B" w:rsidR="00EC1BE8">
        <w:rPr>
          <w:snapToGrid w:val="0"/>
          <w:lang w:val="fr-FR"/>
        </w:rPr>
        <w:t xml:space="preserve">arrestation </w:t>
      </w:r>
      <w:r w:rsidRPr="00FE3F9B" w:rsidR="00EC1BE8">
        <w:rPr>
          <w:i/>
          <w:snapToGrid w:val="0"/>
          <w:lang w:val="fr-FR"/>
        </w:rPr>
        <w:t>de facto</w:t>
      </w:r>
      <w:r w:rsidRPr="00FE3F9B" w:rsidR="00EC1BE8">
        <w:rPr>
          <w:snapToGrid w:val="0"/>
          <w:lang w:val="fr-FR"/>
        </w:rPr>
        <w:t xml:space="preserve">. Par conséquent, </w:t>
      </w:r>
      <w:r w:rsidRPr="00FE3F9B" w:rsidR="00257A0E">
        <w:rPr>
          <w:snapToGrid w:val="0"/>
          <w:lang w:val="fr-FR"/>
        </w:rPr>
        <w:t>conformément à</w:t>
      </w:r>
      <w:r w:rsidRPr="00FE3F9B" w:rsidR="00EC1BE8">
        <w:rPr>
          <w:snapToGrid w:val="0"/>
          <w:lang w:val="fr-FR"/>
        </w:rPr>
        <w:t xml:space="preserve"> </w:t>
      </w:r>
      <w:r w:rsidRPr="00FE3F9B" w:rsidR="00257A0E">
        <w:rPr>
          <w:snapToGrid w:val="0"/>
          <w:lang w:val="fr-FR"/>
        </w:rPr>
        <w:t>s</w:t>
      </w:r>
      <w:r w:rsidRPr="00FE3F9B" w:rsidR="00EC1BE8">
        <w:rPr>
          <w:snapToGrid w:val="0"/>
          <w:lang w:val="fr-FR"/>
        </w:rPr>
        <w:t xml:space="preserve">a jurisprudence bien établie en la matière, </w:t>
      </w:r>
      <w:r w:rsidRPr="00FE3F9B" w:rsidR="00635120">
        <w:rPr>
          <w:snapToGrid w:val="0"/>
          <w:lang w:val="fr-FR"/>
        </w:rPr>
        <w:t>la Cour doit rechercher</w:t>
      </w:r>
      <w:r w:rsidRPr="00FE3F9B" w:rsidR="00257A0E">
        <w:rPr>
          <w:snapToGrid w:val="0"/>
          <w:lang w:val="fr-FR"/>
        </w:rPr>
        <w:t>, en tenant compte de</w:t>
      </w:r>
      <w:r w:rsidRPr="00FE3F9B" w:rsidR="002D40C9">
        <w:rPr>
          <w:snapToGrid w:val="0"/>
          <w:lang w:val="fr-FR"/>
        </w:rPr>
        <w:t>s</w:t>
      </w:r>
      <w:r w:rsidRPr="00FE3F9B" w:rsidR="00257A0E">
        <w:rPr>
          <w:snapToGrid w:val="0"/>
          <w:lang w:val="fr-FR"/>
        </w:rPr>
        <w:t xml:space="preserve"> blessures occasionnées</w:t>
      </w:r>
      <w:r w:rsidRPr="00FE3F9B" w:rsidR="00056086">
        <w:rPr>
          <w:snapToGrid w:val="0"/>
          <w:lang w:val="fr-FR"/>
        </w:rPr>
        <w:t xml:space="preserve"> à la requérante </w:t>
      </w:r>
      <w:r w:rsidRPr="00FE3F9B" w:rsidR="00257A0E">
        <w:rPr>
          <w:snapToGrid w:val="0"/>
          <w:lang w:val="fr-FR"/>
        </w:rPr>
        <w:t xml:space="preserve">et </w:t>
      </w:r>
      <w:r w:rsidRPr="00FE3F9B" w:rsidR="002D40C9">
        <w:rPr>
          <w:snapToGrid w:val="0"/>
          <w:lang w:val="fr-FR"/>
        </w:rPr>
        <w:t>d</w:t>
      </w:r>
      <w:r w:rsidRPr="00FE3F9B" w:rsidR="00257A0E">
        <w:rPr>
          <w:snapToGrid w:val="0"/>
          <w:lang w:val="fr-FR"/>
        </w:rPr>
        <w:t>es circonstances dans lesquelles elles l</w:t>
      </w:r>
      <w:r w:rsidRPr="00FE3F9B" w:rsidR="00FE3F9B">
        <w:rPr>
          <w:snapToGrid w:val="0"/>
          <w:lang w:val="fr-FR"/>
        </w:rPr>
        <w:t>’</w:t>
      </w:r>
      <w:r w:rsidRPr="00FE3F9B" w:rsidR="00257A0E">
        <w:rPr>
          <w:snapToGrid w:val="0"/>
          <w:lang w:val="fr-FR"/>
        </w:rPr>
        <w:t xml:space="preserve">ont été, </w:t>
      </w:r>
      <w:r w:rsidRPr="00FE3F9B" w:rsidR="00635120">
        <w:rPr>
          <w:snapToGrid w:val="0"/>
          <w:lang w:val="fr-FR"/>
        </w:rPr>
        <w:t>si la force utilisée était strictement nécessaire et</w:t>
      </w:r>
      <w:r w:rsidRPr="00FE3F9B" w:rsidR="00635120">
        <w:rPr>
          <w:b/>
          <w:bCs/>
          <w:snapToGrid w:val="0"/>
          <w:lang w:val="fr-FR"/>
        </w:rPr>
        <w:t xml:space="preserve"> </w:t>
      </w:r>
      <w:r w:rsidRPr="00FE3F9B" w:rsidR="00635120">
        <w:rPr>
          <w:snapToGrid w:val="0"/>
          <w:lang w:val="fr-FR"/>
        </w:rPr>
        <w:t>proportionnée et si l</w:t>
      </w:r>
      <w:r w:rsidRPr="00FE3F9B" w:rsidR="00FE3F9B">
        <w:rPr>
          <w:snapToGrid w:val="0"/>
          <w:lang w:val="fr-FR"/>
        </w:rPr>
        <w:t>’</w:t>
      </w:r>
      <w:r w:rsidRPr="00FE3F9B" w:rsidR="0092652A">
        <w:rPr>
          <w:snapToGrid w:val="0"/>
          <w:lang w:val="fr-FR"/>
        </w:rPr>
        <w:t>État</w:t>
      </w:r>
      <w:r w:rsidRPr="00FE3F9B" w:rsidR="00635120">
        <w:rPr>
          <w:snapToGrid w:val="0"/>
          <w:lang w:val="fr-FR"/>
        </w:rPr>
        <w:t xml:space="preserve"> doit être tenu pour responsable des blessures </w:t>
      </w:r>
      <w:r w:rsidRPr="00FE3F9B" w:rsidR="00FA43A1">
        <w:rPr>
          <w:snapToGrid w:val="0"/>
          <w:lang w:val="fr-FR"/>
        </w:rPr>
        <w:t>causées à l</w:t>
      </w:r>
      <w:r w:rsidRPr="00FE3F9B" w:rsidR="00FE3F9B">
        <w:rPr>
          <w:snapToGrid w:val="0"/>
          <w:lang w:val="fr-FR"/>
        </w:rPr>
        <w:t>’</w:t>
      </w:r>
      <w:r w:rsidRPr="00FE3F9B" w:rsidR="00FA43A1">
        <w:rPr>
          <w:snapToGrid w:val="0"/>
          <w:lang w:val="fr-FR"/>
        </w:rPr>
        <w:t>intéressée</w:t>
      </w:r>
      <w:r w:rsidRPr="00FE3F9B" w:rsidR="00635120">
        <w:rPr>
          <w:snapToGrid w:val="0"/>
          <w:lang w:val="fr-FR"/>
        </w:rPr>
        <w:t xml:space="preserve"> (voir, parmi beaucoup d</w:t>
      </w:r>
      <w:r w:rsidRPr="00FE3F9B" w:rsidR="00FE3F9B">
        <w:rPr>
          <w:snapToGrid w:val="0"/>
          <w:lang w:val="fr-FR"/>
        </w:rPr>
        <w:t>’</w:t>
      </w:r>
      <w:r w:rsidRPr="00FE3F9B" w:rsidR="00635120">
        <w:rPr>
          <w:snapToGrid w:val="0"/>
          <w:lang w:val="fr-FR"/>
        </w:rPr>
        <w:t xml:space="preserve">autres, </w:t>
      </w:r>
      <w:r w:rsidRPr="00FE3F9B" w:rsidR="00A9532B">
        <w:rPr>
          <w:i/>
          <w:lang w:val="fr-FR"/>
        </w:rPr>
        <w:t>Douet c. </w:t>
      </w:r>
      <w:r w:rsidRPr="00FE3F9B" w:rsidR="00635120">
        <w:rPr>
          <w:i/>
          <w:lang w:val="fr-FR"/>
        </w:rPr>
        <w:t>France</w:t>
      </w:r>
      <w:r w:rsidRPr="00FE3F9B" w:rsidR="00635120">
        <w:rPr>
          <w:lang w:val="fr-FR"/>
        </w:rPr>
        <w:t>, n</w:t>
      </w:r>
      <w:r w:rsidRPr="00FE3F9B" w:rsidR="00635120">
        <w:rPr>
          <w:vertAlign w:val="superscript"/>
          <w:lang w:val="fr-FR"/>
        </w:rPr>
        <w:t>o</w:t>
      </w:r>
      <w:r w:rsidRPr="00FE3F9B" w:rsidR="00635120">
        <w:rPr>
          <w:lang w:val="fr-FR"/>
        </w:rPr>
        <w:t> 16705/10</w:t>
      </w:r>
      <w:r w:rsidRPr="00FE3F9B" w:rsidR="00635120">
        <w:rPr>
          <w:snapToGrid w:val="0"/>
          <w:lang w:val="fr-FR"/>
        </w:rPr>
        <w:t xml:space="preserve">, § 30, 3 </w:t>
      </w:r>
      <w:r w:rsidRPr="00FE3F9B" w:rsidR="00635120">
        <w:rPr>
          <w:lang w:val="fr-FR"/>
        </w:rPr>
        <w:t>octobre</w:t>
      </w:r>
      <w:r w:rsidRPr="00FE3F9B" w:rsidR="00635120">
        <w:rPr>
          <w:snapToGrid w:val="0"/>
          <w:lang w:val="fr-FR"/>
        </w:rPr>
        <w:t xml:space="preserve"> 2013</w:t>
      </w:r>
      <w:r w:rsidRPr="00FE3F9B" w:rsidR="00815561">
        <w:rPr>
          <w:snapToGrid w:val="0"/>
          <w:lang w:val="fr-FR"/>
        </w:rPr>
        <w:t>)</w:t>
      </w:r>
      <w:r w:rsidRPr="00FE3F9B" w:rsidR="00635120">
        <w:rPr>
          <w:snapToGrid w:val="0"/>
          <w:lang w:val="fr-FR"/>
        </w:rPr>
        <w:t xml:space="preserve">. </w:t>
      </w:r>
      <w:r w:rsidRPr="00FE3F9B" w:rsidR="006B7589">
        <w:rPr>
          <w:snapToGrid w:val="0"/>
          <w:lang w:val="fr-FR"/>
        </w:rPr>
        <w:t>Si, d</w:t>
      </w:r>
      <w:r w:rsidRPr="00FE3F9B" w:rsidR="00635120">
        <w:rPr>
          <w:snapToGrid w:val="0"/>
          <w:lang w:val="fr-FR"/>
        </w:rPr>
        <w:t xml:space="preserve">ans le contexte de la présente affaire, </w:t>
      </w:r>
      <w:r w:rsidRPr="00FE3F9B" w:rsidR="00192EA6">
        <w:rPr>
          <w:snapToGrid w:val="0"/>
          <w:lang w:val="fr-FR"/>
        </w:rPr>
        <w:t xml:space="preserve">les allégations </w:t>
      </w:r>
      <w:r w:rsidRPr="00FE3F9B" w:rsidR="00FA43A1">
        <w:rPr>
          <w:snapToGrid w:val="0"/>
          <w:lang w:val="fr-FR"/>
        </w:rPr>
        <w:t>de mauvais traitements dénoncés par</w:t>
      </w:r>
      <w:r w:rsidRPr="00FE3F9B" w:rsidR="00192EA6">
        <w:rPr>
          <w:snapToGrid w:val="0"/>
          <w:lang w:val="fr-FR"/>
        </w:rPr>
        <w:t xml:space="preserve"> la requérante ne donnent pas </w:t>
      </w:r>
      <w:r w:rsidRPr="00FE3F9B" w:rsidR="00FA43A1">
        <w:rPr>
          <w:snapToGrid w:val="0"/>
          <w:lang w:val="fr-FR"/>
        </w:rPr>
        <w:t xml:space="preserve">lieu à </w:t>
      </w:r>
      <w:r w:rsidRPr="00FE3F9B" w:rsidR="00192EA6">
        <w:rPr>
          <w:snapToGrid w:val="0"/>
          <w:lang w:val="fr-FR"/>
        </w:rPr>
        <w:t>de fortes présomptions de fait, la Cour estime que ce constat ne dispense pas le Gouvernement de son obligation d</w:t>
      </w:r>
      <w:r w:rsidRPr="00FE3F9B" w:rsidR="00FE3F9B">
        <w:rPr>
          <w:snapToGrid w:val="0"/>
          <w:lang w:val="fr-FR"/>
        </w:rPr>
        <w:t>’</w:t>
      </w:r>
      <w:r w:rsidRPr="00FE3F9B" w:rsidR="00192EA6">
        <w:rPr>
          <w:snapToGrid w:val="0"/>
          <w:lang w:val="fr-FR"/>
        </w:rPr>
        <w:t>établir le déroulement des faits de manière satisfaisante et convaincante, éléments de preuve à l</w:t>
      </w:r>
      <w:r w:rsidRPr="00FE3F9B" w:rsidR="00FE3F9B">
        <w:rPr>
          <w:snapToGrid w:val="0"/>
          <w:lang w:val="fr-FR"/>
        </w:rPr>
        <w:t>’</w:t>
      </w:r>
      <w:r w:rsidRPr="00FE3F9B" w:rsidR="00192EA6">
        <w:rPr>
          <w:snapToGrid w:val="0"/>
          <w:lang w:val="fr-FR"/>
        </w:rPr>
        <w:t>appui (</w:t>
      </w:r>
      <w:r w:rsidRPr="00FE3F9B" w:rsidR="00192EA6">
        <w:rPr>
          <w:i/>
          <w:snapToGrid w:val="0"/>
          <w:lang w:val="fr-FR"/>
        </w:rPr>
        <w:t>Rupa c. Roumanie (n</w:t>
      </w:r>
      <w:r w:rsidRPr="00FE3F9B" w:rsidR="00192EA6">
        <w:rPr>
          <w:i/>
          <w:snapToGrid w:val="0"/>
          <w:vertAlign w:val="superscript"/>
          <w:lang w:val="fr-FR"/>
        </w:rPr>
        <w:t>o</w:t>
      </w:r>
      <w:r w:rsidRPr="00FE3F9B" w:rsidR="00192EA6">
        <w:rPr>
          <w:i/>
          <w:snapToGrid w:val="0"/>
          <w:lang w:val="fr-FR"/>
        </w:rPr>
        <w:t xml:space="preserve"> 1)</w:t>
      </w:r>
      <w:r w:rsidRPr="00FE3F9B" w:rsidR="00192EA6">
        <w:rPr>
          <w:snapToGrid w:val="0"/>
          <w:lang w:val="fr-FR"/>
        </w:rPr>
        <w:t>, n</w:t>
      </w:r>
      <w:r w:rsidRPr="00FE3F9B" w:rsidR="00192EA6">
        <w:rPr>
          <w:snapToGrid w:val="0"/>
          <w:vertAlign w:val="superscript"/>
          <w:lang w:val="fr-FR"/>
        </w:rPr>
        <w:t>o</w:t>
      </w:r>
      <w:r w:rsidRPr="00FE3F9B" w:rsidR="00FA43A1">
        <w:rPr>
          <w:snapToGrid w:val="0"/>
          <w:vertAlign w:val="superscript"/>
          <w:lang w:val="fr-FR"/>
        </w:rPr>
        <w:t> </w:t>
      </w:r>
      <w:r w:rsidRPr="00FE3F9B" w:rsidR="00192EA6">
        <w:rPr>
          <w:snapToGrid w:val="0"/>
          <w:lang w:val="fr-FR"/>
        </w:rPr>
        <w:t>58478/00, § 100, 16 décembre 2008).</w:t>
      </w:r>
    </w:p>
    <w:p w:rsidRPr="00FE3F9B" w:rsidR="00953EE7" w:rsidP="00FE3F9B" w:rsidRDefault="00454C1E">
      <w:pPr>
        <w:pStyle w:val="ECHRPara"/>
        <w:rPr>
          <w:snapToGrid w:val="0"/>
          <w:lang w:val="fr-FR"/>
        </w:rPr>
      </w:pPr>
      <w:r w:rsidRPr="00FE3F9B">
        <w:rPr>
          <w:snapToGrid w:val="0"/>
          <w:lang w:val="fr-FR"/>
        </w:rPr>
        <w:fldChar w:fldCharType="begin"/>
      </w:r>
      <w:r w:rsidRPr="00FE3F9B">
        <w:rPr>
          <w:snapToGrid w:val="0"/>
          <w:lang w:val="fr-FR"/>
        </w:rPr>
        <w:instrText xml:space="preserve"> SEQ level0 \*arabic </w:instrText>
      </w:r>
      <w:r w:rsidRPr="00FE3F9B">
        <w:rPr>
          <w:snapToGrid w:val="0"/>
          <w:lang w:val="fr-FR"/>
        </w:rPr>
        <w:fldChar w:fldCharType="separate"/>
      </w:r>
      <w:r w:rsidRPr="00FE3F9B" w:rsidR="00FE3F9B">
        <w:rPr>
          <w:noProof/>
          <w:snapToGrid w:val="0"/>
          <w:lang w:val="fr-FR"/>
        </w:rPr>
        <w:t>51</w:t>
      </w:r>
      <w:r w:rsidRPr="00FE3F9B">
        <w:rPr>
          <w:snapToGrid w:val="0"/>
          <w:lang w:val="fr-FR"/>
        </w:rPr>
        <w:fldChar w:fldCharType="end"/>
      </w:r>
      <w:r w:rsidRPr="00FE3F9B">
        <w:rPr>
          <w:snapToGrid w:val="0"/>
          <w:lang w:val="fr-FR"/>
        </w:rPr>
        <w:t>.  </w:t>
      </w:r>
      <w:r w:rsidRPr="00FE3F9B" w:rsidR="008C5FE2">
        <w:rPr>
          <w:snapToGrid w:val="0"/>
          <w:lang w:val="fr-FR"/>
        </w:rPr>
        <w:t>La Cour note ensuite que les parties sont en désaccord quant au déroulement des évènements du 6 novembre 2001. La position du Gouvernement consiste à dire que les policiers P. et T. n</w:t>
      </w:r>
      <w:r w:rsidRPr="00FE3F9B" w:rsidR="00FE3F9B">
        <w:rPr>
          <w:snapToGrid w:val="0"/>
          <w:lang w:val="fr-FR"/>
        </w:rPr>
        <w:t>’</w:t>
      </w:r>
      <w:r w:rsidRPr="00FE3F9B" w:rsidR="008C5FE2">
        <w:rPr>
          <w:snapToGrid w:val="0"/>
          <w:lang w:val="fr-FR"/>
        </w:rPr>
        <w:t xml:space="preserve">ont ni </w:t>
      </w:r>
      <w:r w:rsidRPr="00FE3F9B" w:rsidR="00FA43A1">
        <w:rPr>
          <w:snapToGrid w:val="0"/>
          <w:lang w:val="fr-FR"/>
        </w:rPr>
        <w:t>frappé ni poussé</w:t>
      </w:r>
      <w:r w:rsidRPr="00FE3F9B" w:rsidR="008C5FE2">
        <w:rPr>
          <w:snapToGrid w:val="0"/>
          <w:lang w:val="fr-FR"/>
        </w:rPr>
        <w:t xml:space="preserve"> la requérante</w:t>
      </w:r>
      <w:r w:rsidRPr="00FE3F9B" w:rsidR="00D51721">
        <w:rPr>
          <w:snapToGrid w:val="0"/>
          <w:lang w:val="fr-FR"/>
        </w:rPr>
        <w:t xml:space="preserve"> et </w:t>
      </w:r>
      <w:r w:rsidRPr="00FE3F9B" w:rsidR="00192EA6">
        <w:rPr>
          <w:snapToGrid w:val="0"/>
          <w:lang w:val="fr-FR"/>
        </w:rPr>
        <w:t xml:space="preserve">que, confrontés à un comportement outrageux de </w:t>
      </w:r>
      <w:r w:rsidRPr="00FE3F9B" w:rsidR="006B7589">
        <w:rPr>
          <w:snapToGrid w:val="0"/>
          <w:lang w:val="fr-FR"/>
        </w:rPr>
        <w:t>celle-ci</w:t>
      </w:r>
      <w:r w:rsidRPr="00FE3F9B" w:rsidR="00192EA6">
        <w:rPr>
          <w:snapToGrid w:val="0"/>
          <w:lang w:val="fr-FR"/>
        </w:rPr>
        <w:t>, ils ont pris la décision d</w:t>
      </w:r>
      <w:r w:rsidRPr="00FE3F9B" w:rsidR="00FE3F9B">
        <w:rPr>
          <w:snapToGrid w:val="0"/>
          <w:lang w:val="fr-FR"/>
        </w:rPr>
        <w:t>’</w:t>
      </w:r>
      <w:r w:rsidRPr="00FE3F9B" w:rsidR="00192EA6">
        <w:rPr>
          <w:snapToGrid w:val="0"/>
          <w:lang w:val="fr-FR"/>
        </w:rPr>
        <w:t xml:space="preserve">emmener </w:t>
      </w:r>
      <w:r w:rsidRPr="00FE3F9B" w:rsidR="006B7589">
        <w:rPr>
          <w:snapToGrid w:val="0"/>
          <w:lang w:val="fr-FR"/>
        </w:rPr>
        <w:t>l</w:t>
      </w:r>
      <w:r w:rsidRPr="00FE3F9B" w:rsidR="00FE3F9B">
        <w:rPr>
          <w:snapToGrid w:val="0"/>
          <w:lang w:val="fr-FR"/>
        </w:rPr>
        <w:t>’</w:t>
      </w:r>
      <w:r w:rsidRPr="00FE3F9B" w:rsidR="006B7589">
        <w:rPr>
          <w:snapToGrid w:val="0"/>
          <w:lang w:val="fr-FR"/>
        </w:rPr>
        <w:t>intéressée</w:t>
      </w:r>
      <w:r w:rsidRPr="00FE3F9B" w:rsidR="00192EA6">
        <w:rPr>
          <w:snapToGrid w:val="0"/>
          <w:lang w:val="fr-FR"/>
        </w:rPr>
        <w:t xml:space="preserve"> au commissariat. Selon le Gouvernement, </w:t>
      </w:r>
      <w:r w:rsidRPr="00FE3F9B" w:rsidR="00FA43A1">
        <w:rPr>
          <w:snapToGrid w:val="0"/>
          <w:lang w:val="fr-FR"/>
        </w:rPr>
        <w:t>ce n</w:t>
      </w:r>
      <w:r w:rsidRPr="00FE3F9B" w:rsidR="00FE3F9B">
        <w:rPr>
          <w:snapToGrid w:val="0"/>
          <w:lang w:val="fr-FR"/>
        </w:rPr>
        <w:t>’</w:t>
      </w:r>
      <w:r w:rsidRPr="00FE3F9B" w:rsidR="00FA43A1">
        <w:rPr>
          <w:snapToGrid w:val="0"/>
          <w:lang w:val="fr-FR"/>
        </w:rPr>
        <w:t>est que lorsque la requérante a refusé d</w:t>
      </w:r>
      <w:r w:rsidRPr="00FE3F9B" w:rsidR="00FE3F9B">
        <w:rPr>
          <w:snapToGrid w:val="0"/>
          <w:lang w:val="fr-FR"/>
        </w:rPr>
        <w:t>’</w:t>
      </w:r>
      <w:r w:rsidRPr="00FE3F9B" w:rsidR="00FA43A1">
        <w:rPr>
          <w:snapToGrid w:val="0"/>
          <w:lang w:val="fr-FR"/>
        </w:rPr>
        <w:t>obtempérer à leurs ordres que les policiers ont fait usage de la force</w:t>
      </w:r>
      <w:r w:rsidRPr="00FE3F9B" w:rsidR="00775BC9">
        <w:rPr>
          <w:snapToGrid w:val="0"/>
          <w:lang w:val="fr-FR"/>
        </w:rPr>
        <w:t xml:space="preserve"> à son encontre</w:t>
      </w:r>
      <w:r w:rsidRPr="00FE3F9B" w:rsidR="00FA43A1">
        <w:rPr>
          <w:snapToGrid w:val="0"/>
          <w:lang w:val="fr-FR"/>
        </w:rPr>
        <w:t xml:space="preserve">, </w:t>
      </w:r>
      <w:r w:rsidRPr="00FE3F9B" w:rsidR="00775BC9">
        <w:rPr>
          <w:snapToGrid w:val="0"/>
          <w:lang w:val="fr-FR"/>
        </w:rPr>
        <w:t xml:space="preserve">et ce </w:t>
      </w:r>
      <w:r w:rsidRPr="00FE3F9B" w:rsidR="00FA43A1">
        <w:rPr>
          <w:snapToGrid w:val="0"/>
          <w:lang w:val="fr-FR"/>
        </w:rPr>
        <w:t xml:space="preserve">uniquement </w:t>
      </w:r>
      <w:r w:rsidRPr="00FE3F9B" w:rsidR="00BC21FD">
        <w:rPr>
          <w:snapToGrid w:val="0"/>
          <w:lang w:val="fr-FR"/>
        </w:rPr>
        <w:t xml:space="preserve">en </w:t>
      </w:r>
      <w:r w:rsidRPr="00FE3F9B" w:rsidR="00775BC9">
        <w:rPr>
          <w:snapToGrid w:val="0"/>
          <w:lang w:val="fr-FR"/>
        </w:rPr>
        <w:t xml:space="preserve">la </w:t>
      </w:r>
      <w:r w:rsidRPr="00FE3F9B" w:rsidR="00BC21FD">
        <w:rPr>
          <w:snapToGrid w:val="0"/>
          <w:lang w:val="fr-FR"/>
        </w:rPr>
        <w:t>saisissant</w:t>
      </w:r>
      <w:r w:rsidRPr="00FE3F9B" w:rsidR="00775BC9">
        <w:rPr>
          <w:snapToGrid w:val="0"/>
          <w:lang w:val="fr-FR"/>
        </w:rPr>
        <w:t xml:space="preserve"> </w:t>
      </w:r>
      <w:r w:rsidRPr="00FE3F9B" w:rsidR="00BC21FD">
        <w:rPr>
          <w:snapToGrid w:val="0"/>
          <w:lang w:val="fr-FR"/>
        </w:rPr>
        <w:t>par les bras</w:t>
      </w:r>
      <w:r w:rsidRPr="00FE3F9B" w:rsidR="002D40C9">
        <w:rPr>
          <w:snapToGrid w:val="0"/>
          <w:lang w:val="fr-FR"/>
        </w:rPr>
        <w:t>.</w:t>
      </w:r>
    </w:p>
    <w:p w:rsidRPr="00FE3F9B" w:rsidR="00953EE7" w:rsidP="00FE3F9B" w:rsidRDefault="002D40C9">
      <w:pPr>
        <w:pStyle w:val="ECHRPara"/>
        <w:rPr>
          <w:snapToGrid w:val="0"/>
          <w:lang w:val="fr-FR"/>
        </w:rPr>
      </w:pPr>
      <w:r w:rsidRPr="00FE3F9B">
        <w:rPr>
          <w:snapToGrid w:val="0"/>
          <w:lang w:val="fr-FR"/>
        </w:rPr>
        <w:fldChar w:fldCharType="begin"/>
      </w:r>
      <w:r w:rsidRPr="00FE3F9B">
        <w:rPr>
          <w:snapToGrid w:val="0"/>
          <w:lang w:val="fr-FR"/>
        </w:rPr>
        <w:instrText xml:space="preserve"> SEQ level0 \*arabic </w:instrText>
      </w:r>
      <w:r w:rsidRPr="00FE3F9B">
        <w:rPr>
          <w:snapToGrid w:val="0"/>
          <w:lang w:val="fr-FR"/>
        </w:rPr>
        <w:fldChar w:fldCharType="separate"/>
      </w:r>
      <w:r w:rsidRPr="00FE3F9B" w:rsidR="00FE3F9B">
        <w:rPr>
          <w:noProof/>
          <w:snapToGrid w:val="0"/>
          <w:lang w:val="fr-FR"/>
        </w:rPr>
        <w:t>52</w:t>
      </w:r>
      <w:r w:rsidRPr="00FE3F9B">
        <w:rPr>
          <w:snapToGrid w:val="0"/>
          <w:lang w:val="fr-FR"/>
        </w:rPr>
        <w:fldChar w:fldCharType="end"/>
      </w:r>
      <w:r w:rsidRPr="00FE3F9B">
        <w:rPr>
          <w:snapToGrid w:val="0"/>
          <w:lang w:val="fr-FR"/>
        </w:rPr>
        <w:t>.  </w:t>
      </w:r>
      <w:r w:rsidRPr="00FE3F9B" w:rsidR="001753A1">
        <w:rPr>
          <w:snapToGrid w:val="0"/>
          <w:lang w:val="fr-FR"/>
        </w:rPr>
        <w:t xml:space="preserve">Cependant, la Cour </w:t>
      </w:r>
      <w:r w:rsidRPr="00FE3F9B" w:rsidR="00F551A0">
        <w:rPr>
          <w:snapToGrid w:val="0"/>
          <w:lang w:val="fr-FR"/>
        </w:rPr>
        <w:t>trouve</w:t>
      </w:r>
      <w:r w:rsidRPr="00FE3F9B" w:rsidR="001753A1">
        <w:rPr>
          <w:snapToGrid w:val="0"/>
          <w:lang w:val="fr-FR"/>
        </w:rPr>
        <w:t xml:space="preserve"> </w:t>
      </w:r>
      <w:r w:rsidRPr="00FE3F9B" w:rsidR="00F551A0">
        <w:rPr>
          <w:snapToGrid w:val="0"/>
          <w:lang w:val="fr-FR"/>
        </w:rPr>
        <w:t>peu convaincante la version des faits présentée par</w:t>
      </w:r>
      <w:r w:rsidRPr="00FE3F9B" w:rsidR="00FA43A1">
        <w:rPr>
          <w:snapToGrid w:val="0"/>
          <w:lang w:val="fr-FR"/>
        </w:rPr>
        <w:t xml:space="preserve"> le</w:t>
      </w:r>
      <w:r w:rsidRPr="00FE3F9B" w:rsidR="00F551A0">
        <w:rPr>
          <w:snapToGrid w:val="0"/>
          <w:lang w:val="fr-FR"/>
        </w:rPr>
        <w:t xml:space="preserve"> Gouvernement.</w:t>
      </w:r>
    </w:p>
    <w:bookmarkStart w:name="usfor1" w:id="17"/>
    <w:p w:rsidRPr="00FE3F9B" w:rsidR="00953EE7" w:rsidP="00FE3F9B" w:rsidRDefault="00454C1E">
      <w:pPr>
        <w:pStyle w:val="ECHRPara"/>
        <w:rPr>
          <w:snapToGrid w:val="0"/>
          <w:lang w:val="fr-FR"/>
        </w:rPr>
      </w:pPr>
      <w:r w:rsidRPr="00FE3F9B">
        <w:rPr>
          <w:snapToGrid w:val="0"/>
          <w:lang w:val="fr-FR"/>
        </w:rPr>
        <w:fldChar w:fldCharType="begin"/>
      </w:r>
      <w:r w:rsidRPr="00FE3F9B">
        <w:rPr>
          <w:snapToGrid w:val="0"/>
          <w:lang w:val="fr-FR"/>
        </w:rPr>
        <w:instrText xml:space="preserve"> SEQ level0 \*arabic </w:instrText>
      </w:r>
      <w:r w:rsidRPr="00FE3F9B">
        <w:rPr>
          <w:snapToGrid w:val="0"/>
          <w:lang w:val="fr-FR"/>
        </w:rPr>
        <w:fldChar w:fldCharType="separate"/>
      </w:r>
      <w:r w:rsidRPr="00FE3F9B" w:rsidR="00FE3F9B">
        <w:rPr>
          <w:noProof/>
          <w:snapToGrid w:val="0"/>
          <w:lang w:val="fr-FR"/>
        </w:rPr>
        <w:t>53</w:t>
      </w:r>
      <w:r w:rsidRPr="00FE3F9B">
        <w:rPr>
          <w:snapToGrid w:val="0"/>
          <w:lang w:val="fr-FR"/>
        </w:rPr>
        <w:fldChar w:fldCharType="end"/>
      </w:r>
      <w:bookmarkEnd w:id="17"/>
      <w:r w:rsidRPr="00FE3F9B">
        <w:rPr>
          <w:snapToGrid w:val="0"/>
          <w:lang w:val="fr-FR"/>
        </w:rPr>
        <w:t>.  </w:t>
      </w:r>
      <w:r w:rsidRPr="00FE3F9B" w:rsidR="00257A0E">
        <w:rPr>
          <w:snapToGrid w:val="0"/>
          <w:lang w:val="fr-FR"/>
        </w:rPr>
        <w:t>Tout d</w:t>
      </w:r>
      <w:r w:rsidRPr="00FE3F9B" w:rsidR="00FE3F9B">
        <w:rPr>
          <w:snapToGrid w:val="0"/>
          <w:lang w:val="fr-FR"/>
        </w:rPr>
        <w:t>’</w:t>
      </w:r>
      <w:r w:rsidRPr="00FE3F9B" w:rsidR="00257A0E">
        <w:rPr>
          <w:snapToGrid w:val="0"/>
          <w:lang w:val="fr-FR"/>
        </w:rPr>
        <w:t xml:space="preserve">abord, </w:t>
      </w:r>
      <w:r w:rsidRPr="00FE3F9B" w:rsidR="00FA43A1">
        <w:rPr>
          <w:snapToGrid w:val="0"/>
          <w:lang w:val="fr-FR"/>
        </w:rPr>
        <w:t xml:space="preserve">elle note que </w:t>
      </w:r>
      <w:r w:rsidRPr="00FE3F9B" w:rsidR="00257A0E">
        <w:rPr>
          <w:snapToGrid w:val="0"/>
          <w:lang w:val="fr-FR"/>
        </w:rPr>
        <w:t xml:space="preserve">le Gouvernement </w:t>
      </w:r>
      <w:r w:rsidRPr="00FE3F9B" w:rsidR="00F551A0">
        <w:rPr>
          <w:snapToGrid w:val="0"/>
          <w:lang w:val="fr-FR"/>
        </w:rPr>
        <w:t>s</w:t>
      </w:r>
      <w:r w:rsidRPr="00FE3F9B" w:rsidR="00FE3F9B">
        <w:rPr>
          <w:snapToGrid w:val="0"/>
          <w:lang w:val="fr-FR"/>
        </w:rPr>
        <w:t>’</w:t>
      </w:r>
      <w:r w:rsidRPr="00FE3F9B" w:rsidR="00F551A0">
        <w:rPr>
          <w:snapToGrid w:val="0"/>
          <w:lang w:val="fr-FR"/>
        </w:rPr>
        <w:t>appuie dans une large mesure sur les conclusions de l</w:t>
      </w:r>
      <w:r w:rsidRPr="00FE3F9B" w:rsidR="00FE3F9B">
        <w:rPr>
          <w:snapToGrid w:val="0"/>
          <w:lang w:val="fr-FR"/>
        </w:rPr>
        <w:t>’</w:t>
      </w:r>
      <w:r w:rsidRPr="00FE3F9B" w:rsidR="00F551A0">
        <w:rPr>
          <w:snapToGrid w:val="0"/>
          <w:lang w:val="fr-FR"/>
        </w:rPr>
        <w:t>enquête préliminaire menée par les autorités chargées de l</w:t>
      </w:r>
      <w:r w:rsidRPr="00FE3F9B" w:rsidR="00FE3F9B">
        <w:rPr>
          <w:snapToGrid w:val="0"/>
          <w:lang w:val="fr-FR"/>
        </w:rPr>
        <w:t>’</w:t>
      </w:r>
      <w:r w:rsidRPr="00FE3F9B" w:rsidR="00F551A0">
        <w:rPr>
          <w:snapToGrid w:val="0"/>
          <w:lang w:val="fr-FR"/>
        </w:rPr>
        <w:t>instruction, not</w:t>
      </w:r>
      <w:r w:rsidRPr="00FE3F9B" w:rsidR="002D40C9">
        <w:rPr>
          <w:snapToGrid w:val="0"/>
          <w:lang w:val="fr-FR"/>
        </w:rPr>
        <w:t xml:space="preserve">amment </w:t>
      </w:r>
      <w:r w:rsidRPr="00FE3F9B" w:rsidR="00AB1A6D">
        <w:rPr>
          <w:snapToGrid w:val="0"/>
          <w:lang w:val="fr-FR"/>
        </w:rPr>
        <w:t xml:space="preserve">en se </w:t>
      </w:r>
      <w:r w:rsidRPr="00FE3F9B" w:rsidR="003A1D95">
        <w:rPr>
          <w:snapToGrid w:val="0"/>
          <w:lang w:val="fr-FR"/>
        </w:rPr>
        <w:t>fondant sur les</w:t>
      </w:r>
      <w:r w:rsidRPr="00FE3F9B" w:rsidR="002D40C9">
        <w:rPr>
          <w:snapToGrid w:val="0"/>
          <w:lang w:val="fr-FR"/>
        </w:rPr>
        <w:t xml:space="preserve"> </w:t>
      </w:r>
      <w:r w:rsidRPr="00FE3F9B" w:rsidR="001650F7">
        <w:rPr>
          <w:snapToGrid w:val="0"/>
          <w:lang w:val="fr-FR"/>
        </w:rPr>
        <w:t xml:space="preserve">témoignages de </w:t>
      </w:r>
      <w:r w:rsidRPr="00FE3F9B" w:rsidR="00F551A0">
        <w:rPr>
          <w:snapToGrid w:val="0"/>
          <w:lang w:val="fr-FR"/>
        </w:rPr>
        <w:t>B.</w:t>
      </w:r>
      <w:r w:rsidRPr="00FE3F9B" w:rsidR="00AB1A6D">
        <w:rPr>
          <w:snapToGrid w:val="0"/>
          <w:lang w:val="fr-FR"/>
        </w:rPr>
        <w:t>,</w:t>
      </w:r>
      <w:r w:rsidRPr="00FE3F9B" w:rsidR="00F551A0">
        <w:rPr>
          <w:snapToGrid w:val="0"/>
          <w:lang w:val="fr-FR"/>
        </w:rPr>
        <w:t xml:space="preserve"> qui avait confirmé </w:t>
      </w:r>
      <w:r w:rsidRPr="00FE3F9B" w:rsidR="001650F7">
        <w:rPr>
          <w:snapToGrid w:val="0"/>
          <w:lang w:val="fr-FR"/>
        </w:rPr>
        <w:t>les explications</w:t>
      </w:r>
      <w:r w:rsidRPr="00FE3F9B" w:rsidR="00F551A0">
        <w:rPr>
          <w:snapToGrid w:val="0"/>
          <w:lang w:val="fr-FR"/>
        </w:rPr>
        <w:t xml:space="preserve"> de P. et T. La Cour rappelle à cet égard qu</w:t>
      </w:r>
      <w:r w:rsidRPr="00FE3F9B" w:rsidR="00FE3F9B">
        <w:rPr>
          <w:snapToGrid w:val="0"/>
          <w:lang w:val="fr-FR"/>
        </w:rPr>
        <w:t>’</w:t>
      </w:r>
      <w:r w:rsidRPr="00FE3F9B" w:rsidR="00F551A0">
        <w:rPr>
          <w:snapToGrid w:val="0"/>
          <w:lang w:val="fr-FR"/>
        </w:rPr>
        <w:t>elle ne saurait tirer aucune conclusion probante d</w:t>
      </w:r>
      <w:r w:rsidRPr="00FE3F9B" w:rsidR="00FE3F9B">
        <w:rPr>
          <w:snapToGrid w:val="0"/>
          <w:lang w:val="fr-FR"/>
        </w:rPr>
        <w:t>’</w:t>
      </w:r>
      <w:r w:rsidRPr="00FE3F9B" w:rsidR="00FA43A1">
        <w:rPr>
          <w:snapToGrid w:val="0"/>
          <w:lang w:val="fr-FR"/>
        </w:rPr>
        <w:t xml:space="preserve">une </w:t>
      </w:r>
      <w:r w:rsidRPr="00FE3F9B" w:rsidR="00F551A0">
        <w:rPr>
          <w:snapToGrid w:val="0"/>
          <w:lang w:val="fr-FR"/>
        </w:rPr>
        <w:t>enquête qu</w:t>
      </w:r>
      <w:r w:rsidRPr="00FE3F9B" w:rsidR="00FE3F9B">
        <w:rPr>
          <w:snapToGrid w:val="0"/>
          <w:lang w:val="fr-FR"/>
        </w:rPr>
        <w:t>’</w:t>
      </w:r>
      <w:r w:rsidRPr="00FE3F9B" w:rsidR="00F551A0">
        <w:rPr>
          <w:snapToGrid w:val="0"/>
          <w:lang w:val="fr-FR"/>
        </w:rPr>
        <w:t xml:space="preserve">elle a jugée ineffective (voir, </w:t>
      </w:r>
      <w:r w:rsidRPr="00FE3F9B" w:rsidR="00F551A0">
        <w:rPr>
          <w:i/>
          <w:snapToGrid w:val="0"/>
          <w:lang w:val="fr-FR"/>
        </w:rPr>
        <w:t>mutatis mutandis</w:t>
      </w:r>
      <w:r w:rsidRPr="00FE3F9B" w:rsidR="00F551A0">
        <w:rPr>
          <w:snapToGrid w:val="0"/>
          <w:lang w:val="fr-FR"/>
        </w:rPr>
        <w:t>, dans le cadre de l</w:t>
      </w:r>
      <w:r w:rsidRPr="00FE3F9B" w:rsidR="00FE3F9B">
        <w:rPr>
          <w:snapToGrid w:val="0"/>
          <w:lang w:val="fr-FR"/>
        </w:rPr>
        <w:t>’</w:t>
      </w:r>
      <w:r w:rsidRPr="00FE3F9B" w:rsidR="00F551A0">
        <w:rPr>
          <w:snapToGrid w:val="0"/>
          <w:lang w:val="fr-FR"/>
        </w:rPr>
        <w:t>article</w:t>
      </w:r>
      <w:r w:rsidRPr="00FE3F9B" w:rsidR="00985418">
        <w:rPr>
          <w:snapToGrid w:val="0"/>
          <w:lang w:val="fr-FR"/>
        </w:rPr>
        <w:t> </w:t>
      </w:r>
      <w:r w:rsidRPr="00FE3F9B" w:rsidR="00F551A0">
        <w:rPr>
          <w:snapToGrid w:val="0"/>
          <w:lang w:val="fr-FR"/>
        </w:rPr>
        <w:t xml:space="preserve">2 de la Convention, </w:t>
      </w:r>
      <w:r w:rsidRPr="00FE3F9B" w:rsidR="00F551A0">
        <w:rPr>
          <w:i/>
          <w:iCs/>
          <w:snapToGrid w:val="0"/>
          <w:lang w:val="fr-FR"/>
        </w:rPr>
        <w:t>Lykova c. Russie</w:t>
      </w:r>
      <w:r w:rsidRPr="00FE3F9B" w:rsidR="00F551A0">
        <w:rPr>
          <w:snapToGrid w:val="0"/>
          <w:lang w:val="fr-FR"/>
        </w:rPr>
        <w:t>, n</w:t>
      </w:r>
      <w:r w:rsidRPr="00FE3F9B" w:rsidR="00F551A0">
        <w:rPr>
          <w:snapToGrid w:val="0"/>
          <w:vertAlign w:val="superscript"/>
          <w:lang w:val="fr-FR"/>
        </w:rPr>
        <w:t>o</w:t>
      </w:r>
      <w:r w:rsidRPr="00FE3F9B" w:rsidR="00F551A0">
        <w:rPr>
          <w:snapToGrid w:val="0"/>
          <w:lang w:val="fr-FR"/>
        </w:rPr>
        <w:t xml:space="preserve"> 68736/11, § 132, 22</w:t>
      </w:r>
      <w:r w:rsidRPr="00FE3F9B" w:rsidR="00985418">
        <w:rPr>
          <w:snapToGrid w:val="0"/>
          <w:lang w:val="fr-FR"/>
        </w:rPr>
        <w:t> </w:t>
      </w:r>
      <w:r w:rsidRPr="00FE3F9B" w:rsidR="00F551A0">
        <w:rPr>
          <w:snapToGrid w:val="0"/>
          <w:lang w:val="fr-FR"/>
        </w:rPr>
        <w:t>décembre 2015).</w:t>
      </w:r>
    </w:p>
    <w:p w:rsidRPr="00FE3F9B" w:rsidR="00953EE7" w:rsidP="00FE3F9B" w:rsidRDefault="009141A1">
      <w:pPr>
        <w:pStyle w:val="ECHRPara"/>
        <w:rPr>
          <w:snapToGrid w:val="0"/>
          <w:lang w:val="fr-FR"/>
        </w:rPr>
      </w:pPr>
      <w:r w:rsidRPr="00FE3F9B">
        <w:rPr>
          <w:snapToGrid w:val="0"/>
          <w:lang w:val="fr-FR"/>
        </w:rPr>
        <w:fldChar w:fldCharType="begin"/>
      </w:r>
      <w:r w:rsidRPr="00FE3F9B">
        <w:rPr>
          <w:snapToGrid w:val="0"/>
          <w:lang w:val="fr-FR"/>
        </w:rPr>
        <w:instrText xml:space="preserve"> SEQ level0 \*arabic </w:instrText>
      </w:r>
      <w:r w:rsidRPr="00FE3F9B">
        <w:rPr>
          <w:snapToGrid w:val="0"/>
          <w:lang w:val="fr-FR"/>
        </w:rPr>
        <w:fldChar w:fldCharType="separate"/>
      </w:r>
      <w:r w:rsidRPr="00FE3F9B" w:rsidR="00FE3F9B">
        <w:rPr>
          <w:noProof/>
          <w:snapToGrid w:val="0"/>
          <w:lang w:val="fr-FR"/>
        </w:rPr>
        <w:t>54</w:t>
      </w:r>
      <w:r w:rsidRPr="00FE3F9B">
        <w:rPr>
          <w:snapToGrid w:val="0"/>
          <w:lang w:val="fr-FR"/>
        </w:rPr>
        <w:fldChar w:fldCharType="end"/>
      </w:r>
      <w:r w:rsidRPr="00FE3F9B">
        <w:rPr>
          <w:snapToGrid w:val="0"/>
          <w:lang w:val="fr-FR"/>
        </w:rPr>
        <w:t>.  </w:t>
      </w:r>
      <w:r w:rsidRPr="00FE3F9B" w:rsidR="00124505">
        <w:rPr>
          <w:snapToGrid w:val="0"/>
          <w:lang w:val="fr-FR"/>
        </w:rPr>
        <w:t>En l</w:t>
      </w:r>
      <w:r w:rsidRPr="00FE3F9B" w:rsidR="00FE3F9B">
        <w:rPr>
          <w:snapToGrid w:val="0"/>
          <w:lang w:val="fr-FR"/>
        </w:rPr>
        <w:t>’</w:t>
      </w:r>
      <w:r w:rsidRPr="00FE3F9B" w:rsidR="00124505">
        <w:rPr>
          <w:snapToGrid w:val="0"/>
          <w:lang w:val="fr-FR"/>
        </w:rPr>
        <w:t xml:space="preserve">espèce, </w:t>
      </w:r>
      <w:r w:rsidRPr="00FE3F9B">
        <w:rPr>
          <w:snapToGrid w:val="0"/>
          <w:lang w:val="fr-FR"/>
        </w:rPr>
        <w:t xml:space="preserve">la Cour </w:t>
      </w:r>
      <w:r w:rsidRPr="00FE3F9B" w:rsidR="00124505">
        <w:rPr>
          <w:snapToGrid w:val="0"/>
          <w:lang w:val="fr-FR"/>
        </w:rPr>
        <w:t xml:space="preserve">a </w:t>
      </w:r>
      <w:r w:rsidRPr="00FE3F9B" w:rsidR="002F5E12">
        <w:rPr>
          <w:snapToGrid w:val="0"/>
          <w:lang w:val="fr-FR"/>
        </w:rPr>
        <w:t>con</w:t>
      </w:r>
      <w:r w:rsidRPr="00FE3F9B" w:rsidR="00A05CBA">
        <w:rPr>
          <w:snapToGrid w:val="0"/>
          <w:lang w:val="fr-FR"/>
        </w:rPr>
        <w:t xml:space="preserve">clu </w:t>
      </w:r>
      <w:r w:rsidRPr="00FE3F9B" w:rsidR="00124505">
        <w:rPr>
          <w:snapToGrid w:val="0"/>
          <w:lang w:val="fr-FR"/>
        </w:rPr>
        <w:t>que l</w:t>
      </w:r>
      <w:r w:rsidRPr="00FE3F9B" w:rsidR="00FE3F9B">
        <w:rPr>
          <w:snapToGrid w:val="0"/>
          <w:lang w:val="fr-FR"/>
        </w:rPr>
        <w:t>’</w:t>
      </w:r>
      <w:r w:rsidRPr="00FE3F9B" w:rsidR="00124505">
        <w:rPr>
          <w:snapToGrid w:val="0"/>
          <w:lang w:val="fr-FR"/>
        </w:rPr>
        <w:t>enquête préliminaire menée sur les allégations de mauvais traitements n</w:t>
      </w:r>
      <w:r w:rsidRPr="00FE3F9B" w:rsidR="00FE3F9B">
        <w:rPr>
          <w:snapToGrid w:val="0"/>
          <w:lang w:val="fr-FR"/>
        </w:rPr>
        <w:t>’</w:t>
      </w:r>
      <w:r w:rsidRPr="00FE3F9B" w:rsidR="00124505">
        <w:rPr>
          <w:snapToGrid w:val="0"/>
          <w:lang w:val="fr-FR"/>
        </w:rPr>
        <w:t xml:space="preserve">avait pas </w:t>
      </w:r>
      <w:r w:rsidRPr="00FE3F9B" w:rsidR="002F5E12">
        <w:rPr>
          <w:snapToGrid w:val="0"/>
          <w:lang w:val="fr-FR"/>
        </w:rPr>
        <w:t>été</w:t>
      </w:r>
      <w:r w:rsidRPr="00FE3F9B" w:rsidR="00124505">
        <w:rPr>
          <w:snapToGrid w:val="0"/>
          <w:lang w:val="fr-FR"/>
        </w:rPr>
        <w:t xml:space="preserve"> effective au sens de l</w:t>
      </w:r>
      <w:r w:rsidRPr="00FE3F9B" w:rsidR="00FE3F9B">
        <w:rPr>
          <w:snapToGrid w:val="0"/>
          <w:lang w:val="fr-FR"/>
        </w:rPr>
        <w:t>’</w:t>
      </w:r>
      <w:r w:rsidRPr="00FE3F9B" w:rsidR="00124505">
        <w:rPr>
          <w:snapToGrid w:val="0"/>
          <w:lang w:val="fr-FR"/>
        </w:rPr>
        <w:t>article 3 de la Convention (paragraphe</w:t>
      </w:r>
      <w:r w:rsidRPr="00FE3F9B" w:rsidR="002D40C9">
        <w:rPr>
          <w:snapToGrid w:val="0"/>
          <w:lang w:val="fr-FR"/>
        </w:rPr>
        <w:t xml:space="preserve"> </w:t>
      </w:r>
      <w:r w:rsidRPr="00FE3F9B" w:rsidR="002D40C9">
        <w:rPr>
          <w:snapToGrid w:val="0"/>
          <w:lang w:val="fr-FR"/>
        </w:rPr>
        <w:fldChar w:fldCharType="begin"/>
      </w:r>
      <w:r w:rsidRPr="00FE3F9B" w:rsidR="002D40C9">
        <w:rPr>
          <w:snapToGrid w:val="0"/>
          <w:lang w:val="fr-FR"/>
        </w:rPr>
        <w:instrText xml:space="preserve"> REF viol3 \h </w:instrText>
      </w:r>
      <w:r w:rsidRPr="00FE3F9B" w:rsidR="002D40C9">
        <w:rPr>
          <w:snapToGrid w:val="0"/>
          <w:lang w:val="fr-FR"/>
        </w:rPr>
      </w:r>
      <w:r w:rsidRPr="00FE3F9B" w:rsidR="002D40C9">
        <w:rPr>
          <w:snapToGrid w:val="0"/>
          <w:lang w:val="fr-FR"/>
        </w:rPr>
        <w:fldChar w:fldCharType="separate"/>
      </w:r>
      <w:r w:rsidRPr="00FE3F9B" w:rsidR="00FE3F9B">
        <w:rPr>
          <w:noProof/>
          <w:lang w:val="fr-FR"/>
        </w:rPr>
        <w:t>47</w:t>
      </w:r>
      <w:r w:rsidRPr="00FE3F9B" w:rsidR="002D40C9">
        <w:rPr>
          <w:snapToGrid w:val="0"/>
          <w:lang w:val="fr-FR"/>
        </w:rPr>
        <w:fldChar w:fldCharType="end"/>
      </w:r>
      <w:r w:rsidRPr="00FE3F9B" w:rsidR="00124505">
        <w:rPr>
          <w:snapToGrid w:val="0"/>
          <w:lang w:val="fr-FR"/>
        </w:rPr>
        <w:t xml:space="preserve"> ci-dessus).</w:t>
      </w:r>
      <w:r w:rsidRPr="00FE3F9B">
        <w:rPr>
          <w:snapToGrid w:val="0"/>
          <w:lang w:val="fr-FR"/>
        </w:rPr>
        <w:t xml:space="preserve"> </w:t>
      </w:r>
      <w:r w:rsidRPr="00FE3F9B" w:rsidR="00124505">
        <w:rPr>
          <w:snapToGrid w:val="0"/>
          <w:lang w:val="fr-FR"/>
        </w:rPr>
        <w:t xml:space="preserve">Eu égard aux défauts </w:t>
      </w:r>
      <w:r w:rsidRPr="00FE3F9B" w:rsidR="00A05CBA">
        <w:rPr>
          <w:snapToGrid w:val="0"/>
          <w:lang w:val="fr-FR"/>
        </w:rPr>
        <w:t>constatés</w:t>
      </w:r>
      <w:r w:rsidRPr="00FE3F9B" w:rsidR="00124505">
        <w:rPr>
          <w:snapToGrid w:val="0"/>
          <w:lang w:val="fr-FR"/>
        </w:rPr>
        <w:t xml:space="preserve">, </w:t>
      </w:r>
      <w:r w:rsidRPr="00FE3F9B">
        <w:rPr>
          <w:snapToGrid w:val="0"/>
          <w:lang w:val="fr-FR"/>
        </w:rPr>
        <w:t>elle</w:t>
      </w:r>
      <w:r w:rsidRPr="00FE3F9B" w:rsidR="00124505">
        <w:rPr>
          <w:snapToGrid w:val="0"/>
          <w:lang w:val="fr-FR"/>
        </w:rPr>
        <w:t xml:space="preserve"> estime que les conclusions de ladite enquête ne sont pas suffisantes pour établir le déroulement des faits de manièr</w:t>
      </w:r>
      <w:r w:rsidRPr="00FE3F9B">
        <w:rPr>
          <w:snapToGrid w:val="0"/>
          <w:lang w:val="fr-FR"/>
        </w:rPr>
        <w:t>e satisfaisante et convaincante.</w:t>
      </w:r>
    </w:p>
    <w:p w:rsidRPr="00FE3F9B" w:rsidR="00953EE7" w:rsidP="00FE3F9B" w:rsidRDefault="009141A1">
      <w:pPr>
        <w:pStyle w:val="ECHRPara"/>
        <w:rPr>
          <w:snapToGrid w:val="0"/>
          <w:lang w:val="fr-FR"/>
        </w:rPr>
      </w:pPr>
      <w:r w:rsidRPr="00FE3F9B">
        <w:rPr>
          <w:snapToGrid w:val="0"/>
          <w:lang w:val="fr-FR"/>
        </w:rPr>
        <w:fldChar w:fldCharType="begin"/>
      </w:r>
      <w:r w:rsidRPr="00FE3F9B">
        <w:rPr>
          <w:snapToGrid w:val="0"/>
          <w:lang w:val="fr-FR"/>
        </w:rPr>
        <w:instrText xml:space="preserve"> SEQ level0 \*arabic </w:instrText>
      </w:r>
      <w:r w:rsidRPr="00FE3F9B">
        <w:rPr>
          <w:snapToGrid w:val="0"/>
          <w:lang w:val="fr-FR"/>
        </w:rPr>
        <w:fldChar w:fldCharType="separate"/>
      </w:r>
      <w:r w:rsidRPr="00FE3F9B" w:rsidR="00FE3F9B">
        <w:rPr>
          <w:noProof/>
          <w:snapToGrid w:val="0"/>
          <w:lang w:val="fr-FR"/>
        </w:rPr>
        <w:t>55</w:t>
      </w:r>
      <w:r w:rsidRPr="00FE3F9B">
        <w:rPr>
          <w:snapToGrid w:val="0"/>
          <w:lang w:val="fr-FR"/>
        </w:rPr>
        <w:fldChar w:fldCharType="end"/>
      </w:r>
      <w:r w:rsidRPr="00FE3F9B">
        <w:rPr>
          <w:snapToGrid w:val="0"/>
          <w:lang w:val="fr-FR"/>
        </w:rPr>
        <w:t>.  </w:t>
      </w:r>
      <w:r w:rsidRPr="00FE3F9B" w:rsidR="00985418">
        <w:rPr>
          <w:snapToGrid w:val="0"/>
          <w:lang w:val="fr-FR"/>
        </w:rPr>
        <w:t>À ce sujet, l</w:t>
      </w:r>
      <w:r w:rsidRPr="00FE3F9B">
        <w:rPr>
          <w:snapToGrid w:val="0"/>
          <w:lang w:val="fr-FR"/>
        </w:rPr>
        <w:t xml:space="preserve">a Cour </w:t>
      </w:r>
      <w:r w:rsidRPr="00FE3F9B" w:rsidR="00A05CBA">
        <w:rPr>
          <w:snapToGrid w:val="0"/>
          <w:lang w:val="fr-FR"/>
        </w:rPr>
        <w:t>relève</w:t>
      </w:r>
      <w:r w:rsidRPr="00FE3F9B">
        <w:rPr>
          <w:snapToGrid w:val="0"/>
          <w:lang w:val="fr-FR"/>
        </w:rPr>
        <w:t xml:space="preserve"> que,</w:t>
      </w:r>
      <w:r w:rsidRPr="00FE3F9B" w:rsidR="001753A1">
        <w:rPr>
          <w:snapToGrid w:val="0"/>
          <w:lang w:val="fr-FR"/>
        </w:rPr>
        <w:t xml:space="preserve"> </w:t>
      </w:r>
      <w:r w:rsidRPr="00FE3F9B">
        <w:rPr>
          <w:snapToGrid w:val="0"/>
          <w:lang w:val="fr-FR"/>
        </w:rPr>
        <w:t xml:space="preserve">alors que </w:t>
      </w:r>
      <w:r w:rsidRPr="00FE3F9B" w:rsidR="001753A1">
        <w:rPr>
          <w:snapToGrid w:val="0"/>
          <w:lang w:val="fr-FR"/>
        </w:rPr>
        <w:t>les autorités chargées d</w:t>
      </w:r>
      <w:r w:rsidRPr="00FE3F9B" w:rsidR="00E965FA">
        <w:rPr>
          <w:snapToGrid w:val="0"/>
          <w:lang w:val="fr-FR"/>
        </w:rPr>
        <w:t>e l</w:t>
      </w:r>
      <w:r w:rsidRPr="00FE3F9B" w:rsidR="00FE3F9B">
        <w:rPr>
          <w:snapToGrid w:val="0"/>
          <w:lang w:val="fr-FR"/>
        </w:rPr>
        <w:t>’</w:t>
      </w:r>
      <w:r w:rsidRPr="00FE3F9B" w:rsidR="001753A1">
        <w:rPr>
          <w:snapToGrid w:val="0"/>
          <w:lang w:val="fr-FR"/>
        </w:rPr>
        <w:t xml:space="preserve">instruction, tout comme le Gouvernement devant </w:t>
      </w:r>
      <w:r w:rsidRPr="00FE3F9B" w:rsidR="004A34DB">
        <w:rPr>
          <w:snapToGrid w:val="0"/>
          <w:lang w:val="fr-FR"/>
        </w:rPr>
        <w:t>elle</w:t>
      </w:r>
      <w:r w:rsidRPr="00FE3F9B" w:rsidR="001753A1">
        <w:rPr>
          <w:snapToGrid w:val="0"/>
          <w:lang w:val="fr-FR"/>
        </w:rPr>
        <w:t>, se réf</w:t>
      </w:r>
      <w:r w:rsidRPr="00FE3F9B">
        <w:rPr>
          <w:snapToGrid w:val="0"/>
          <w:lang w:val="fr-FR"/>
        </w:rPr>
        <w:t>èrent</w:t>
      </w:r>
      <w:r w:rsidRPr="00FE3F9B" w:rsidR="001753A1">
        <w:rPr>
          <w:snapToGrid w:val="0"/>
          <w:lang w:val="fr-FR"/>
        </w:rPr>
        <w:t xml:space="preserve"> </w:t>
      </w:r>
      <w:r w:rsidRPr="00FE3F9B" w:rsidR="004A34DB">
        <w:rPr>
          <w:snapToGrid w:val="0"/>
          <w:lang w:val="fr-FR"/>
        </w:rPr>
        <w:t>à un</w:t>
      </w:r>
      <w:r w:rsidRPr="00FE3F9B" w:rsidR="001753A1">
        <w:rPr>
          <w:snapToGrid w:val="0"/>
          <w:lang w:val="fr-FR"/>
        </w:rPr>
        <w:t xml:space="preserve"> co</w:t>
      </w:r>
      <w:r w:rsidRPr="00FE3F9B" w:rsidR="002D40C9">
        <w:rPr>
          <w:snapToGrid w:val="0"/>
          <w:lang w:val="fr-FR"/>
        </w:rPr>
        <w:t xml:space="preserve">mportement </w:t>
      </w:r>
      <w:r w:rsidRPr="00FE3F9B" w:rsidR="004A34DB">
        <w:rPr>
          <w:snapToGrid w:val="0"/>
          <w:lang w:val="fr-FR"/>
        </w:rPr>
        <w:t xml:space="preserve">illicite </w:t>
      </w:r>
      <w:r w:rsidRPr="00FE3F9B" w:rsidR="001753A1">
        <w:rPr>
          <w:snapToGrid w:val="0"/>
          <w:lang w:val="fr-FR"/>
        </w:rPr>
        <w:t>de la requérante</w:t>
      </w:r>
      <w:r w:rsidRPr="00FE3F9B">
        <w:rPr>
          <w:snapToGrid w:val="0"/>
          <w:lang w:val="fr-FR"/>
        </w:rPr>
        <w:t xml:space="preserve"> lors des évènements du 6 </w:t>
      </w:r>
      <w:r w:rsidRPr="00FE3F9B" w:rsidR="001753A1">
        <w:rPr>
          <w:snapToGrid w:val="0"/>
          <w:lang w:val="fr-FR"/>
        </w:rPr>
        <w:t xml:space="preserve">novembre 2001, elles ne </w:t>
      </w:r>
      <w:r w:rsidRPr="00FE3F9B" w:rsidR="00C017EB">
        <w:rPr>
          <w:snapToGrid w:val="0"/>
          <w:lang w:val="fr-FR"/>
        </w:rPr>
        <w:t xml:space="preserve">se </w:t>
      </w:r>
      <w:r w:rsidRPr="00FE3F9B" w:rsidR="004A34DB">
        <w:rPr>
          <w:snapToGrid w:val="0"/>
          <w:lang w:val="fr-FR"/>
        </w:rPr>
        <w:t>fondent</w:t>
      </w:r>
      <w:r w:rsidRPr="00FE3F9B" w:rsidR="00C017EB">
        <w:rPr>
          <w:snapToGrid w:val="0"/>
          <w:lang w:val="fr-FR"/>
        </w:rPr>
        <w:t xml:space="preserve"> à cet égard sur aucun</w:t>
      </w:r>
      <w:r w:rsidRPr="00FE3F9B" w:rsidR="001753A1">
        <w:rPr>
          <w:snapToGrid w:val="0"/>
          <w:lang w:val="fr-FR"/>
        </w:rPr>
        <w:t xml:space="preserve"> </w:t>
      </w:r>
      <w:r w:rsidRPr="00FE3F9B" w:rsidR="00C017EB">
        <w:rPr>
          <w:snapToGrid w:val="0"/>
          <w:lang w:val="fr-FR"/>
        </w:rPr>
        <w:t>élément</w:t>
      </w:r>
      <w:r w:rsidRPr="00FE3F9B" w:rsidR="001753A1">
        <w:rPr>
          <w:snapToGrid w:val="0"/>
          <w:lang w:val="fr-FR"/>
        </w:rPr>
        <w:t xml:space="preserve"> formel. En effet, si les policiers P. et T. avaient agi dans le but de mettre fin au comportement </w:t>
      </w:r>
      <w:r w:rsidRPr="00FE3F9B" w:rsidR="00257A0E">
        <w:rPr>
          <w:snapToGrid w:val="0"/>
          <w:lang w:val="fr-FR"/>
        </w:rPr>
        <w:t xml:space="preserve">prétendument </w:t>
      </w:r>
      <w:r w:rsidRPr="00FE3F9B" w:rsidR="001753A1">
        <w:rPr>
          <w:snapToGrid w:val="0"/>
          <w:lang w:val="fr-FR"/>
        </w:rPr>
        <w:t>illicite de la requérante, cette dernière aurait dû faire l</w:t>
      </w:r>
      <w:r w:rsidRPr="00FE3F9B" w:rsidR="00FE3F9B">
        <w:rPr>
          <w:snapToGrid w:val="0"/>
          <w:lang w:val="fr-FR"/>
        </w:rPr>
        <w:t>’</w:t>
      </w:r>
      <w:r w:rsidRPr="00FE3F9B" w:rsidR="001753A1">
        <w:rPr>
          <w:snapToGrid w:val="0"/>
          <w:lang w:val="fr-FR"/>
        </w:rPr>
        <w:t xml:space="preserve">objet de poursuites pénales </w:t>
      </w:r>
      <w:r w:rsidRPr="00FE3F9B" w:rsidR="001A4C2D">
        <w:rPr>
          <w:snapToGrid w:val="0"/>
          <w:lang w:val="fr-FR"/>
        </w:rPr>
        <w:t xml:space="preserve">sur </w:t>
      </w:r>
      <w:r w:rsidRPr="00FE3F9B" w:rsidR="001753A1">
        <w:rPr>
          <w:snapToGrid w:val="0"/>
          <w:lang w:val="fr-FR"/>
        </w:rPr>
        <w:t xml:space="preserve">la base </w:t>
      </w:r>
      <w:r w:rsidRPr="00FE3F9B" w:rsidR="001A4C2D">
        <w:rPr>
          <w:snapToGrid w:val="0"/>
          <w:lang w:val="fr-FR"/>
        </w:rPr>
        <w:t xml:space="preserve">soit </w:t>
      </w:r>
      <w:r w:rsidRPr="00FE3F9B" w:rsidR="001753A1">
        <w:rPr>
          <w:snapToGrid w:val="0"/>
          <w:lang w:val="fr-FR"/>
        </w:rPr>
        <w:t>d</w:t>
      </w:r>
      <w:r w:rsidRPr="00FE3F9B" w:rsidR="001A4C2D">
        <w:rPr>
          <w:snapToGrid w:val="0"/>
          <w:lang w:val="fr-FR"/>
        </w:rPr>
        <w:t>e l</w:t>
      </w:r>
      <w:r w:rsidRPr="00FE3F9B" w:rsidR="00FE3F9B">
        <w:rPr>
          <w:snapToGrid w:val="0"/>
          <w:lang w:val="fr-FR"/>
        </w:rPr>
        <w:t>’</w:t>
      </w:r>
      <w:r w:rsidRPr="00FE3F9B" w:rsidR="001A4C2D">
        <w:rPr>
          <w:snapToGrid w:val="0"/>
          <w:lang w:val="fr-FR"/>
        </w:rPr>
        <w:t xml:space="preserve">article </w:t>
      </w:r>
      <w:r w:rsidRPr="00FE3F9B" w:rsidR="001753A1">
        <w:rPr>
          <w:snapToGrid w:val="0"/>
          <w:lang w:val="fr-FR"/>
        </w:rPr>
        <w:t>318 (violence sur personne dépositaire d</w:t>
      </w:r>
      <w:r w:rsidRPr="00FE3F9B" w:rsidR="00D02C41">
        <w:rPr>
          <w:snapToGrid w:val="0"/>
          <w:lang w:val="fr-FR"/>
        </w:rPr>
        <w:t>e l</w:t>
      </w:r>
      <w:r w:rsidRPr="00FE3F9B" w:rsidR="00FE3F9B">
        <w:rPr>
          <w:snapToGrid w:val="0"/>
          <w:lang w:val="fr-FR"/>
        </w:rPr>
        <w:t>’</w:t>
      </w:r>
      <w:r w:rsidRPr="00FE3F9B" w:rsidR="00D02C41">
        <w:rPr>
          <w:snapToGrid w:val="0"/>
          <w:lang w:val="fr-FR"/>
        </w:rPr>
        <w:t>autorité</w:t>
      </w:r>
      <w:r w:rsidRPr="00FE3F9B" w:rsidR="001753A1">
        <w:rPr>
          <w:snapToGrid w:val="0"/>
          <w:lang w:val="fr-FR"/>
        </w:rPr>
        <w:t xml:space="preserve"> publi</w:t>
      </w:r>
      <w:r w:rsidRPr="00FE3F9B" w:rsidR="00D02C41">
        <w:rPr>
          <w:snapToGrid w:val="0"/>
          <w:lang w:val="fr-FR"/>
        </w:rPr>
        <w:t>que</w:t>
      </w:r>
      <w:r w:rsidRPr="00FE3F9B" w:rsidR="001753A1">
        <w:rPr>
          <w:snapToGrid w:val="0"/>
          <w:lang w:val="fr-FR"/>
        </w:rPr>
        <w:t xml:space="preserve">) </w:t>
      </w:r>
      <w:r w:rsidRPr="00FE3F9B" w:rsidR="001A4C2D">
        <w:rPr>
          <w:snapToGrid w:val="0"/>
          <w:lang w:val="fr-FR"/>
        </w:rPr>
        <w:t>soit de l</w:t>
      </w:r>
      <w:r w:rsidRPr="00FE3F9B" w:rsidR="00FE3F9B">
        <w:rPr>
          <w:snapToGrid w:val="0"/>
          <w:lang w:val="fr-FR"/>
        </w:rPr>
        <w:t>’</w:t>
      </w:r>
      <w:r w:rsidRPr="00FE3F9B" w:rsidR="001A4C2D">
        <w:rPr>
          <w:snapToGrid w:val="0"/>
          <w:lang w:val="fr-FR"/>
        </w:rPr>
        <w:t xml:space="preserve">article </w:t>
      </w:r>
      <w:r w:rsidRPr="00FE3F9B" w:rsidR="001753A1">
        <w:rPr>
          <w:snapToGrid w:val="0"/>
          <w:lang w:val="fr-FR"/>
        </w:rPr>
        <w:t>3</w:t>
      </w:r>
      <w:r w:rsidRPr="00FE3F9B" w:rsidR="00760B21">
        <w:rPr>
          <w:snapToGrid w:val="0"/>
          <w:lang w:val="fr-FR"/>
        </w:rPr>
        <w:t xml:space="preserve">19 (outrage à une personne </w:t>
      </w:r>
      <w:r w:rsidRPr="00FE3F9B" w:rsidR="001753A1">
        <w:rPr>
          <w:snapToGrid w:val="0"/>
          <w:lang w:val="fr-FR"/>
        </w:rPr>
        <w:t>dépositaire d</w:t>
      </w:r>
      <w:r w:rsidRPr="00FE3F9B" w:rsidR="00D02C41">
        <w:rPr>
          <w:snapToGrid w:val="0"/>
          <w:lang w:val="fr-FR"/>
        </w:rPr>
        <w:t>e l</w:t>
      </w:r>
      <w:r w:rsidRPr="00FE3F9B" w:rsidR="00FE3F9B">
        <w:rPr>
          <w:snapToGrid w:val="0"/>
          <w:lang w:val="fr-FR"/>
        </w:rPr>
        <w:t>’</w:t>
      </w:r>
      <w:r w:rsidRPr="00FE3F9B" w:rsidR="00D02C41">
        <w:rPr>
          <w:snapToGrid w:val="0"/>
          <w:lang w:val="fr-FR"/>
        </w:rPr>
        <w:t>autorité</w:t>
      </w:r>
      <w:r w:rsidRPr="00FE3F9B" w:rsidR="001753A1">
        <w:rPr>
          <w:snapToGrid w:val="0"/>
          <w:lang w:val="fr-FR"/>
        </w:rPr>
        <w:t xml:space="preserve"> publi</w:t>
      </w:r>
      <w:r w:rsidRPr="00FE3F9B" w:rsidR="00D02C41">
        <w:rPr>
          <w:snapToGrid w:val="0"/>
          <w:lang w:val="fr-FR"/>
        </w:rPr>
        <w:t>que</w:t>
      </w:r>
      <w:r w:rsidRPr="00FE3F9B" w:rsidR="001753A1">
        <w:rPr>
          <w:snapToGrid w:val="0"/>
          <w:lang w:val="fr-FR"/>
        </w:rPr>
        <w:t xml:space="preserve">) du CP. </w:t>
      </w:r>
      <w:r w:rsidRPr="00FE3F9B">
        <w:rPr>
          <w:snapToGrid w:val="0"/>
          <w:lang w:val="fr-FR"/>
        </w:rPr>
        <w:t>Or la décision du 11 </w:t>
      </w:r>
      <w:r w:rsidRPr="00FE3F9B" w:rsidR="001753A1">
        <w:rPr>
          <w:snapToGrid w:val="0"/>
          <w:lang w:val="fr-FR"/>
        </w:rPr>
        <w:t xml:space="preserve">novembre 2009 </w:t>
      </w:r>
      <w:r w:rsidRPr="00FE3F9B" w:rsidR="0002032C">
        <w:rPr>
          <w:snapToGrid w:val="0"/>
          <w:lang w:val="fr-FR"/>
        </w:rPr>
        <w:t>précise</w:t>
      </w:r>
      <w:r w:rsidRPr="00FE3F9B" w:rsidR="001753A1">
        <w:rPr>
          <w:snapToGrid w:val="0"/>
          <w:lang w:val="fr-FR"/>
        </w:rPr>
        <w:t xml:space="preserve"> </w:t>
      </w:r>
      <w:r w:rsidRPr="00FE3F9B" w:rsidR="0002032C">
        <w:rPr>
          <w:snapToGrid w:val="0"/>
          <w:lang w:val="fr-FR"/>
        </w:rPr>
        <w:t>expressément qu</w:t>
      </w:r>
      <w:r w:rsidRPr="00FE3F9B" w:rsidR="00FE3F9B">
        <w:rPr>
          <w:snapToGrid w:val="0"/>
          <w:lang w:val="fr-FR"/>
        </w:rPr>
        <w:t>’</w:t>
      </w:r>
      <w:r w:rsidRPr="00FE3F9B" w:rsidR="0002032C">
        <w:rPr>
          <w:snapToGrid w:val="0"/>
          <w:lang w:val="fr-FR"/>
        </w:rPr>
        <w:t>il n</w:t>
      </w:r>
      <w:r w:rsidRPr="00FE3F9B" w:rsidR="00FE3F9B">
        <w:rPr>
          <w:snapToGrid w:val="0"/>
          <w:lang w:val="fr-FR"/>
        </w:rPr>
        <w:t>’</w:t>
      </w:r>
      <w:r w:rsidRPr="00FE3F9B" w:rsidR="0002032C">
        <w:rPr>
          <w:snapToGrid w:val="0"/>
          <w:lang w:val="fr-FR"/>
        </w:rPr>
        <w:t>y avait pas lieu de poursuivre la requérante pour l</w:t>
      </w:r>
      <w:r w:rsidRPr="00FE3F9B" w:rsidR="00FE3F9B">
        <w:rPr>
          <w:snapToGrid w:val="0"/>
          <w:lang w:val="fr-FR"/>
        </w:rPr>
        <w:t>’</w:t>
      </w:r>
      <w:r w:rsidRPr="00FE3F9B" w:rsidR="0002032C">
        <w:rPr>
          <w:snapToGrid w:val="0"/>
          <w:lang w:val="fr-FR"/>
        </w:rPr>
        <w:t xml:space="preserve">infraction </w:t>
      </w:r>
      <w:r w:rsidRPr="00FE3F9B" w:rsidR="00A5708D">
        <w:rPr>
          <w:snapToGrid w:val="0"/>
          <w:lang w:val="fr-FR"/>
        </w:rPr>
        <w:t xml:space="preserve">réprimée par </w:t>
      </w:r>
      <w:r w:rsidRPr="00FE3F9B" w:rsidR="0002032C">
        <w:rPr>
          <w:snapToGrid w:val="0"/>
          <w:lang w:val="fr-FR"/>
        </w:rPr>
        <w:t>l</w:t>
      </w:r>
      <w:r w:rsidRPr="00FE3F9B" w:rsidR="00FE3F9B">
        <w:rPr>
          <w:snapToGrid w:val="0"/>
          <w:lang w:val="fr-FR"/>
        </w:rPr>
        <w:t>’</w:t>
      </w:r>
      <w:r w:rsidRPr="00FE3F9B" w:rsidR="0002032C">
        <w:rPr>
          <w:snapToGrid w:val="0"/>
          <w:lang w:val="fr-FR"/>
        </w:rPr>
        <w:t>article 319 du CP</w:t>
      </w:r>
      <w:r w:rsidRPr="00FE3F9B">
        <w:rPr>
          <w:snapToGrid w:val="0"/>
          <w:lang w:val="fr-FR"/>
        </w:rPr>
        <w:t xml:space="preserve"> (paragraphe</w:t>
      </w:r>
      <w:r w:rsidRPr="00FE3F9B" w:rsidR="004A34DB">
        <w:rPr>
          <w:snapToGrid w:val="0"/>
          <w:lang w:val="fr-FR"/>
        </w:rPr>
        <w:t> </w:t>
      </w:r>
      <w:r w:rsidRPr="00FE3F9B" w:rsidR="002D40C9">
        <w:rPr>
          <w:snapToGrid w:val="0"/>
          <w:lang w:val="fr-FR"/>
        </w:rPr>
        <w:fldChar w:fldCharType="begin"/>
      </w:r>
      <w:r w:rsidRPr="00FE3F9B" w:rsidR="002D40C9">
        <w:rPr>
          <w:snapToGrid w:val="0"/>
          <w:lang w:val="fr-FR"/>
        </w:rPr>
        <w:instrText xml:space="preserve"> REF refpen11nov09ult \h </w:instrText>
      </w:r>
      <w:r w:rsidRPr="00FE3F9B" w:rsidR="002D40C9">
        <w:rPr>
          <w:snapToGrid w:val="0"/>
          <w:lang w:val="fr-FR"/>
        </w:rPr>
      </w:r>
      <w:r w:rsidRPr="00FE3F9B" w:rsidR="002D40C9">
        <w:rPr>
          <w:snapToGrid w:val="0"/>
          <w:lang w:val="fr-FR"/>
        </w:rPr>
        <w:fldChar w:fldCharType="separate"/>
      </w:r>
      <w:r w:rsidRPr="00FE3F9B" w:rsidR="00FE3F9B">
        <w:rPr>
          <w:noProof/>
          <w:lang w:val="fr-FR"/>
        </w:rPr>
        <w:t>25</w:t>
      </w:r>
      <w:r w:rsidRPr="00FE3F9B" w:rsidR="002D40C9">
        <w:rPr>
          <w:snapToGrid w:val="0"/>
          <w:lang w:val="fr-FR"/>
        </w:rPr>
        <w:fldChar w:fldCharType="end"/>
      </w:r>
      <w:r w:rsidRPr="00FE3F9B" w:rsidR="002D40C9">
        <w:rPr>
          <w:snapToGrid w:val="0"/>
          <w:lang w:val="fr-FR"/>
        </w:rPr>
        <w:t xml:space="preserve"> </w:t>
      </w:r>
      <w:r w:rsidRPr="00FE3F9B">
        <w:rPr>
          <w:snapToGrid w:val="0"/>
          <w:lang w:val="fr-FR"/>
        </w:rPr>
        <w:t>ci</w:t>
      </w:r>
      <w:r w:rsidRPr="00FE3F9B">
        <w:rPr>
          <w:snapToGrid w:val="0"/>
          <w:lang w:val="fr-FR"/>
        </w:rPr>
        <w:noBreakHyphen/>
        <w:t>dessus)</w:t>
      </w:r>
      <w:r w:rsidRPr="00FE3F9B" w:rsidR="0002032C">
        <w:rPr>
          <w:snapToGrid w:val="0"/>
          <w:lang w:val="fr-FR"/>
        </w:rPr>
        <w:t xml:space="preserve">. </w:t>
      </w:r>
      <w:r w:rsidRPr="00FE3F9B" w:rsidR="004A34DB">
        <w:rPr>
          <w:snapToGrid w:val="0"/>
          <w:lang w:val="fr-FR"/>
        </w:rPr>
        <w:t>De surcroît, a</w:t>
      </w:r>
      <w:r w:rsidRPr="00FE3F9B" w:rsidR="0002032C">
        <w:rPr>
          <w:snapToGrid w:val="0"/>
          <w:lang w:val="fr-FR"/>
        </w:rPr>
        <w:t xml:space="preserve">ucun élément du dossier dont </w:t>
      </w:r>
      <w:r w:rsidRPr="00FE3F9B" w:rsidR="004A34DB">
        <w:rPr>
          <w:snapToGrid w:val="0"/>
          <w:lang w:val="fr-FR"/>
        </w:rPr>
        <w:t xml:space="preserve">la Cour </w:t>
      </w:r>
      <w:r w:rsidRPr="00FE3F9B" w:rsidR="0002032C">
        <w:rPr>
          <w:snapToGrid w:val="0"/>
          <w:lang w:val="fr-FR"/>
        </w:rPr>
        <w:t>dispose ne démontre que la requérante a été poursuivi</w:t>
      </w:r>
      <w:r w:rsidRPr="00FE3F9B" w:rsidR="0092652A">
        <w:rPr>
          <w:snapToGrid w:val="0"/>
          <w:lang w:val="fr-FR"/>
        </w:rPr>
        <w:t>e</w:t>
      </w:r>
      <w:r w:rsidRPr="00FE3F9B" w:rsidR="0002032C">
        <w:rPr>
          <w:snapToGrid w:val="0"/>
          <w:lang w:val="fr-FR"/>
        </w:rPr>
        <w:t xml:space="preserve"> et reconnue coupable de l</w:t>
      </w:r>
      <w:r w:rsidRPr="00FE3F9B" w:rsidR="00FE3F9B">
        <w:rPr>
          <w:snapToGrid w:val="0"/>
          <w:lang w:val="fr-FR"/>
        </w:rPr>
        <w:t>’</w:t>
      </w:r>
      <w:r w:rsidRPr="00FE3F9B" w:rsidR="0002032C">
        <w:rPr>
          <w:snapToGrid w:val="0"/>
          <w:lang w:val="fr-FR"/>
        </w:rPr>
        <w:t xml:space="preserve">infraction </w:t>
      </w:r>
      <w:r w:rsidRPr="00FE3F9B" w:rsidR="004A34DB">
        <w:rPr>
          <w:snapToGrid w:val="0"/>
          <w:lang w:val="fr-FR"/>
        </w:rPr>
        <w:t xml:space="preserve">réprimée </w:t>
      </w:r>
      <w:r w:rsidRPr="00FE3F9B" w:rsidR="00F1192E">
        <w:rPr>
          <w:snapToGrid w:val="0"/>
          <w:lang w:val="fr-FR"/>
        </w:rPr>
        <w:t>par</w:t>
      </w:r>
      <w:r w:rsidRPr="00FE3F9B" w:rsidR="0002032C">
        <w:rPr>
          <w:snapToGrid w:val="0"/>
          <w:lang w:val="fr-FR"/>
        </w:rPr>
        <w:t xml:space="preserve"> l</w:t>
      </w:r>
      <w:r w:rsidRPr="00FE3F9B" w:rsidR="00FE3F9B">
        <w:rPr>
          <w:snapToGrid w:val="0"/>
          <w:lang w:val="fr-FR"/>
        </w:rPr>
        <w:t>’</w:t>
      </w:r>
      <w:r w:rsidRPr="00FE3F9B" w:rsidR="0002032C">
        <w:rPr>
          <w:snapToGrid w:val="0"/>
          <w:lang w:val="fr-FR"/>
        </w:rPr>
        <w:t>article 318 du CP.</w:t>
      </w:r>
    </w:p>
    <w:p w:rsidRPr="00FE3F9B" w:rsidR="00953EE7" w:rsidP="00FE3F9B" w:rsidRDefault="009141A1">
      <w:pPr>
        <w:pStyle w:val="ECHRPara"/>
        <w:rPr>
          <w:snapToGrid w:val="0"/>
          <w:lang w:val="fr-FR"/>
        </w:rPr>
      </w:pPr>
      <w:r w:rsidRPr="00FE3F9B">
        <w:rPr>
          <w:snapToGrid w:val="0"/>
          <w:lang w:val="fr-FR"/>
        </w:rPr>
        <w:fldChar w:fldCharType="begin"/>
      </w:r>
      <w:r w:rsidRPr="00FE3F9B">
        <w:rPr>
          <w:snapToGrid w:val="0"/>
          <w:lang w:val="fr-FR"/>
        </w:rPr>
        <w:instrText xml:space="preserve"> SEQ level0 \*arabic </w:instrText>
      </w:r>
      <w:r w:rsidRPr="00FE3F9B">
        <w:rPr>
          <w:snapToGrid w:val="0"/>
          <w:lang w:val="fr-FR"/>
        </w:rPr>
        <w:fldChar w:fldCharType="separate"/>
      </w:r>
      <w:r w:rsidRPr="00FE3F9B" w:rsidR="00FE3F9B">
        <w:rPr>
          <w:noProof/>
          <w:snapToGrid w:val="0"/>
          <w:lang w:val="fr-FR"/>
        </w:rPr>
        <w:t>56</w:t>
      </w:r>
      <w:r w:rsidRPr="00FE3F9B">
        <w:rPr>
          <w:snapToGrid w:val="0"/>
          <w:lang w:val="fr-FR"/>
        </w:rPr>
        <w:fldChar w:fldCharType="end"/>
      </w:r>
      <w:r w:rsidRPr="00FE3F9B">
        <w:rPr>
          <w:snapToGrid w:val="0"/>
          <w:lang w:val="fr-FR"/>
        </w:rPr>
        <w:t>.  </w:t>
      </w:r>
      <w:r w:rsidRPr="00FE3F9B" w:rsidR="0092652A">
        <w:rPr>
          <w:snapToGrid w:val="0"/>
          <w:lang w:val="fr-FR"/>
        </w:rPr>
        <w:t>S</w:t>
      </w:r>
      <w:r w:rsidRPr="00FE3F9B" w:rsidR="001753A1">
        <w:rPr>
          <w:snapToGrid w:val="0"/>
          <w:lang w:val="fr-FR"/>
        </w:rPr>
        <w:t>i</w:t>
      </w:r>
      <w:r w:rsidRPr="00FE3F9B" w:rsidR="0002032C">
        <w:rPr>
          <w:snapToGrid w:val="0"/>
          <w:lang w:val="fr-FR"/>
        </w:rPr>
        <w:t>, comme le suggère le Gouvernement,</w:t>
      </w:r>
      <w:r w:rsidRPr="00FE3F9B" w:rsidR="0092652A">
        <w:rPr>
          <w:snapToGrid w:val="0"/>
          <w:lang w:val="fr-FR"/>
        </w:rPr>
        <w:t xml:space="preserve"> la requérante avai</w:t>
      </w:r>
      <w:r w:rsidRPr="00FE3F9B" w:rsidR="001753A1">
        <w:rPr>
          <w:snapToGrid w:val="0"/>
          <w:lang w:val="fr-FR"/>
        </w:rPr>
        <w:t>t refusé d</w:t>
      </w:r>
      <w:r w:rsidRPr="00FE3F9B" w:rsidR="00FE3F9B">
        <w:rPr>
          <w:snapToGrid w:val="0"/>
          <w:lang w:val="fr-FR"/>
        </w:rPr>
        <w:t>’</w:t>
      </w:r>
      <w:r w:rsidRPr="00FE3F9B" w:rsidR="001753A1">
        <w:rPr>
          <w:snapToGrid w:val="0"/>
          <w:lang w:val="fr-FR"/>
        </w:rPr>
        <w:t xml:space="preserve">obtempérer aux ordres des policiers P. et T., elle aurait dû être sanctionnée en conformité avec le </w:t>
      </w:r>
      <w:r w:rsidRPr="00FE3F9B" w:rsidR="0002032C">
        <w:rPr>
          <w:snapToGrid w:val="0"/>
          <w:lang w:val="fr-FR"/>
        </w:rPr>
        <w:t>c</w:t>
      </w:r>
      <w:r w:rsidRPr="00FE3F9B" w:rsidR="001753A1">
        <w:rPr>
          <w:snapToGrid w:val="0"/>
          <w:lang w:val="fr-FR"/>
        </w:rPr>
        <w:t>ode des infractions administrative</w:t>
      </w:r>
      <w:r w:rsidRPr="00FE3F9B" w:rsidR="0002032C">
        <w:rPr>
          <w:snapToGrid w:val="0"/>
          <w:lang w:val="fr-FR"/>
        </w:rPr>
        <w:t>s</w:t>
      </w:r>
      <w:r w:rsidRPr="00FE3F9B" w:rsidR="001753A1">
        <w:rPr>
          <w:snapToGrid w:val="0"/>
          <w:lang w:val="fr-FR"/>
        </w:rPr>
        <w:t xml:space="preserve"> (voir, pour plus de détails sur </w:t>
      </w:r>
      <w:r w:rsidRPr="00FE3F9B" w:rsidR="0075125A">
        <w:rPr>
          <w:snapToGrid w:val="0"/>
          <w:lang w:val="fr-FR"/>
        </w:rPr>
        <w:t>l</w:t>
      </w:r>
      <w:r w:rsidRPr="00FE3F9B" w:rsidR="00FE3F9B">
        <w:rPr>
          <w:snapToGrid w:val="0"/>
          <w:lang w:val="fr-FR"/>
        </w:rPr>
        <w:t>’</w:t>
      </w:r>
      <w:r w:rsidRPr="00FE3F9B" w:rsidR="007552DB">
        <w:rPr>
          <w:snapToGrid w:val="0"/>
          <w:lang w:val="fr-FR"/>
        </w:rPr>
        <w:t xml:space="preserve">infraction </w:t>
      </w:r>
      <w:r w:rsidRPr="00FE3F9B" w:rsidR="00994964">
        <w:rPr>
          <w:snapToGrid w:val="0"/>
          <w:lang w:val="fr-FR"/>
        </w:rPr>
        <w:t xml:space="preserve">administrative </w:t>
      </w:r>
      <w:r w:rsidRPr="00FE3F9B" w:rsidR="001753A1">
        <w:rPr>
          <w:snapToGrid w:val="0"/>
          <w:lang w:val="fr-FR"/>
        </w:rPr>
        <w:t xml:space="preserve">pour </w:t>
      </w:r>
      <w:r w:rsidRPr="00FE3F9B" w:rsidR="0075125A">
        <w:rPr>
          <w:snapToGrid w:val="0"/>
          <w:lang w:val="fr-FR"/>
        </w:rPr>
        <w:t>le refus d</w:t>
      </w:r>
      <w:r w:rsidRPr="00FE3F9B" w:rsidR="00FE3F9B">
        <w:rPr>
          <w:snapToGrid w:val="0"/>
          <w:lang w:val="fr-FR"/>
        </w:rPr>
        <w:t>’</w:t>
      </w:r>
      <w:r w:rsidRPr="00FE3F9B" w:rsidR="001753A1">
        <w:rPr>
          <w:snapToGrid w:val="0"/>
          <w:lang w:val="fr-FR"/>
        </w:rPr>
        <w:t>obéi</w:t>
      </w:r>
      <w:r w:rsidRPr="00FE3F9B" w:rsidR="0075125A">
        <w:rPr>
          <w:snapToGrid w:val="0"/>
          <w:lang w:val="fr-FR"/>
        </w:rPr>
        <w:t>r</w:t>
      </w:r>
      <w:r w:rsidRPr="00FE3F9B" w:rsidR="001753A1">
        <w:rPr>
          <w:snapToGrid w:val="0"/>
          <w:lang w:val="fr-FR"/>
        </w:rPr>
        <w:t xml:space="preserve"> </w:t>
      </w:r>
      <w:r w:rsidRPr="00FE3F9B" w:rsidR="0075125A">
        <w:rPr>
          <w:snapToGrid w:val="0"/>
          <w:lang w:val="fr-FR"/>
        </w:rPr>
        <w:t>à un ordre</w:t>
      </w:r>
      <w:r w:rsidRPr="00FE3F9B" w:rsidR="001753A1">
        <w:rPr>
          <w:snapToGrid w:val="0"/>
          <w:lang w:val="fr-FR"/>
        </w:rPr>
        <w:t xml:space="preserve"> </w:t>
      </w:r>
      <w:r w:rsidRPr="00FE3F9B" w:rsidR="0075125A">
        <w:rPr>
          <w:snapToGrid w:val="0"/>
          <w:lang w:val="fr-FR"/>
        </w:rPr>
        <w:t>donné par un policier</w:t>
      </w:r>
      <w:r w:rsidRPr="00FE3F9B" w:rsidR="001753A1">
        <w:rPr>
          <w:snapToGrid w:val="0"/>
          <w:lang w:val="fr-FR"/>
        </w:rPr>
        <w:t xml:space="preserve">, </w:t>
      </w:r>
      <w:r w:rsidRPr="00FE3F9B" w:rsidR="001753A1">
        <w:rPr>
          <w:i/>
          <w:snapToGrid w:val="0"/>
          <w:lang w:val="fr-FR"/>
        </w:rPr>
        <w:t>Frumkin c. Russie</w:t>
      </w:r>
      <w:r w:rsidRPr="00FE3F9B" w:rsidR="001753A1">
        <w:rPr>
          <w:snapToGrid w:val="0"/>
          <w:lang w:val="fr-FR"/>
        </w:rPr>
        <w:t>, n</w:t>
      </w:r>
      <w:r w:rsidRPr="00FE3F9B" w:rsidR="001753A1">
        <w:rPr>
          <w:snapToGrid w:val="0"/>
          <w:vertAlign w:val="superscript"/>
          <w:lang w:val="fr-FR"/>
        </w:rPr>
        <w:t>o</w:t>
      </w:r>
      <w:r w:rsidRPr="00FE3F9B" w:rsidR="00092AF2">
        <w:rPr>
          <w:snapToGrid w:val="0"/>
          <w:lang w:val="fr-FR"/>
        </w:rPr>
        <w:t> </w:t>
      </w:r>
      <w:r w:rsidRPr="00FE3F9B" w:rsidR="001753A1">
        <w:rPr>
          <w:snapToGrid w:val="0"/>
          <w:lang w:val="fr-FR"/>
        </w:rPr>
        <w:t>74568/12, § 79, CEDH 2016 (extraits)). En tout état de cause, tout usage de la force par les policier</w:t>
      </w:r>
      <w:r w:rsidRPr="00FE3F9B" w:rsidR="004F5909">
        <w:rPr>
          <w:snapToGrid w:val="0"/>
          <w:lang w:val="fr-FR"/>
        </w:rPr>
        <w:t>s</w:t>
      </w:r>
      <w:r w:rsidRPr="00FE3F9B" w:rsidR="001753A1">
        <w:rPr>
          <w:snapToGrid w:val="0"/>
          <w:lang w:val="fr-FR"/>
        </w:rPr>
        <w:t xml:space="preserve"> P. e</w:t>
      </w:r>
      <w:r w:rsidRPr="00FE3F9B" w:rsidR="001A4C2D">
        <w:rPr>
          <w:snapToGrid w:val="0"/>
          <w:lang w:val="fr-FR"/>
        </w:rPr>
        <w:t xml:space="preserve">t </w:t>
      </w:r>
      <w:r w:rsidRPr="00FE3F9B" w:rsidR="001753A1">
        <w:rPr>
          <w:snapToGrid w:val="0"/>
          <w:lang w:val="fr-FR"/>
        </w:rPr>
        <w:t>T</w:t>
      </w:r>
      <w:r w:rsidRPr="00FE3F9B" w:rsidR="001A4C2D">
        <w:rPr>
          <w:snapToGrid w:val="0"/>
          <w:lang w:val="fr-FR"/>
        </w:rPr>
        <w:t>.</w:t>
      </w:r>
      <w:r w:rsidRPr="00FE3F9B" w:rsidR="001753A1">
        <w:rPr>
          <w:snapToGrid w:val="0"/>
          <w:lang w:val="fr-FR"/>
        </w:rPr>
        <w:t xml:space="preserve"> aurait dû être suivi par </w:t>
      </w:r>
      <w:r w:rsidRPr="00FE3F9B" w:rsidR="004F5909">
        <w:rPr>
          <w:snapToGrid w:val="0"/>
          <w:lang w:val="fr-FR"/>
        </w:rPr>
        <w:t>la remise</w:t>
      </w:r>
      <w:r w:rsidRPr="00FE3F9B" w:rsidR="001753A1">
        <w:rPr>
          <w:snapToGrid w:val="0"/>
          <w:lang w:val="fr-FR"/>
        </w:rPr>
        <w:t xml:space="preserve"> de rapports aux supérieurs hiérarchiques </w:t>
      </w:r>
      <w:r w:rsidRPr="00FE3F9B" w:rsidR="004F5909">
        <w:rPr>
          <w:snapToGrid w:val="0"/>
          <w:lang w:val="fr-FR"/>
        </w:rPr>
        <w:t>de ces agents, et ce aux fins d</w:t>
      </w:r>
      <w:r w:rsidRPr="00FE3F9B" w:rsidR="00FE3F9B">
        <w:rPr>
          <w:snapToGrid w:val="0"/>
          <w:lang w:val="fr-FR"/>
        </w:rPr>
        <w:t>’</w:t>
      </w:r>
      <w:r w:rsidRPr="00FE3F9B" w:rsidR="004F5909">
        <w:rPr>
          <w:snapToGrid w:val="0"/>
          <w:lang w:val="fr-FR"/>
        </w:rPr>
        <w:t>appréciation de</w:t>
      </w:r>
      <w:r w:rsidRPr="00FE3F9B" w:rsidR="001753A1">
        <w:rPr>
          <w:snapToGrid w:val="0"/>
          <w:lang w:val="fr-FR"/>
        </w:rPr>
        <w:t xml:space="preserve"> la proportionnalité </w:t>
      </w:r>
      <w:r w:rsidRPr="00FE3F9B" w:rsidR="001A4C2D">
        <w:rPr>
          <w:snapToGrid w:val="0"/>
          <w:lang w:val="fr-FR"/>
        </w:rPr>
        <w:t xml:space="preserve">de la force </w:t>
      </w:r>
      <w:r w:rsidRPr="00FE3F9B" w:rsidR="00A5708D">
        <w:rPr>
          <w:snapToGrid w:val="0"/>
          <w:lang w:val="fr-FR"/>
        </w:rPr>
        <w:t xml:space="preserve">employée </w:t>
      </w:r>
      <w:r w:rsidRPr="00FE3F9B" w:rsidR="002D40C9">
        <w:rPr>
          <w:snapToGrid w:val="0"/>
          <w:lang w:val="fr-FR"/>
        </w:rPr>
        <w:t xml:space="preserve">en conformité avec la loi sur la police </w:t>
      </w:r>
      <w:r w:rsidRPr="00FE3F9B" w:rsidR="001753A1">
        <w:rPr>
          <w:snapToGrid w:val="0"/>
          <w:lang w:val="fr-FR"/>
        </w:rPr>
        <w:t>(</w:t>
      </w:r>
      <w:r w:rsidRPr="00FE3F9B" w:rsidR="00257A0E">
        <w:rPr>
          <w:i/>
          <w:lang w:val="fr-FR"/>
        </w:rPr>
        <w:t>Davitidze</w:t>
      </w:r>
      <w:r w:rsidRPr="00FE3F9B" w:rsidR="00257A0E">
        <w:rPr>
          <w:lang w:val="fr-FR"/>
        </w:rPr>
        <w:t xml:space="preserve">, </w:t>
      </w:r>
      <w:r w:rsidRPr="00FE3F9B" w:rsidR="00A9532B">
        <w:rPr>
          <w:lang w:val="fr-FR"/>
        </w:rPr>
        <w:t>précité</w:t>
      </w:r>
      <w:r w:rsidRPr="00FE3F9B" w:rsidR="00257A0E">
        <w:rPr>
          <w:snapToGrid w:val="0"/>
          <w:lang w:val="fr-FR"/>
        </w:rPr>
        <w:t>, §§ </w:t>
      </w:r>
      <w:r w:rsidRPr="00FE3F9B" w:rsidR="007552DB">
        <w:rPr>
          <w:snapToGrid w:val="0"/>
          <w:lang w:val="fr-FR"/>
        </w:rPr>
        <w:t>91</w:t>
      </w:r>
      <w:r w:rsidRPr="00FE3F9B" w:rsidR="00A9532B">
        <w:rPr>
          <w:snapToGrid w:val="0"/>
          <w:lang w:val="fr-FR"/>
        </w:rPr>
        <w:noBreakHyphen/>
      </w:r>
      <w:r w:rsidRPr="00FE3F9B" w:rsidR="00257A0E">
        <w:rPr>
          <w:snapToGrid w:val="0"/>
          <w:lang w:val="fr-FR"/>
        </w:rPr>
        <w:t>93</w:t>
      </w:r>
      <w:r w:rsidRPr="00FE3F9B" w:rsidR="007552DB">
        <w:rPr>
          <w:snapToGrid w:val="0"/>
          <w:lang w:val="fr-FR"/>
        </w:rPr>
        <w:t xml:space="preserve">, </w:t>
      </w:r>
      <w:r w:rsidRPr="00FE3F9B" w:rsidR="007552DB">
        <w:rPr>
          <w:i/>
          <w:iCs/>
          <w:snapToGrid w:val="0"/>
          <w:lang w:val="fr-FR"/>
        </w:rPr>
        <w:t>Ryabtsev</w:t>
      </w:r>
      <w:r w:rsidRPr="00FE3F9B" w:rsidR="007552DB">
        <w:rPr>
          <w:snapToGrid w:val="0"/>
          <w:lang w:val="fr-FR"/>
        </w:rPr>
        <w:t>, précité, § 43</w:t>
      </w:r>
      <w:r w:rsidRPr="00FE3F9B" w:rsidR="001753A1">
        <w:rPr>
          <w:snapToGrid w:val="0"/>
          <w:lang w:val="fr-FR"/>
        </w:rPr>
        <w:t xml:space="preserve">). </w:t>
      </w:r>
      <w:r w:rsidRPr="00FE3F9B" w:rsidR="00E965FA">
        <w:rPr>
          <w:snapToGrid w:val="0"/>
          <w:lang w:val="fr-FR"/>
        </w:rPr>
        <w:t>Or il ne ressort pas de</w:t>
      </w:r>
      <w:r w:rsidRPr="00FE3F9B" w:rsidR="00C017EB">
        <w:rPr>
          <w:snapToGrid w:val="0"/>
          <w:lang w:val="fr-FR"/>
        </w:rPr>
        <w:t>s</w:t>
      </w:r>
      <w:r w:rsidRPr="00FE3F9B" w:rsidR="00E965FA">
        <w:rPr>
          <w:snapToGrid w:val="0"/>
          <w:lang w:val="fr-FR"/>
        </w:rPr>
        <w:t xml:space="preserve"> décisions des autorités chargées de l</w:t>
      </w:r>
      <w:r w:rsidRPr="00FE3F9B" w:rsidR="00FE3F9B">
        <w:rPr>
          <w:snapToGrid w:val="0"/>
          <w:lang w:val="fr-FR"/>
        </w:rPr>
        <w:t>’</w:t>
      </w:r>
      <w:r w:rsidRPr="00FE3F9B" w:rsidR="00E965FA">
        <w:rPr>
          <w:snapToGrid w:val="0"/>
          <w:lang w:val="fr-FR"/>
        </w:rPr>
        <w:t>instruction qu</w:t>
      </w:r>
      <w:r w:rsidRPr="00FE3F9B" w:rsidR="00B9579A">
        <w:rPr>
          <w:snapToGrid w:val="0"/>
          <w:lang w:val="fr-FR"/>
        </w:rPr>
        <w:t>e ce</w:t>
      </w:r>
      <w:r w:rsidRPr="00FE3F9B" w:rsidR="00E965FA">
        <w:rPr>
          <w:snapToGrid w:val="0"/>
          <w:lang w:val="fr-FR"/>
        </w:rPr>
        <w:t>lles</w:t>
      </w:r>
      <w:r w:rsidRPr="00FE3F9B" w:rsidR="00B9579A">
        <w:rPr>
          <w:snapToGrid w:val="0"/>
          <w:lang w:val="fr-FR"/>
        </w:rPr>
        <w:t>-ci</w:t>
      </w:r>
      <w:r w:rsidRPr="00FE3F9B" w:rsidR="00E965FA">
        <w:rPr>
          <w:snapToGrid w:val="0"/>
          <w:lang w:val="fr-FR"/>
        </w:rPr>
        <w:t xml:space="preserve"> aient cherché à établir l</w:t>
      </w:r>
      <w:r w:rsidRPr="00FE3F9B" w:rsidR="00FE3F9B">
        <w:rPr>
          <w:snapToGrid w:val="0"/>
          <w:lang w:val="fr-FR"/>
        </w:rPr>
        <w:t>’</w:t>
      </w:r>
      <w:r w:rsidRPr="00FE3F9B" w:rsidR="00E965FA">
        <w:rPr>
          <w:snapToGrid w:val="0"/>
          <w:lang w:val="fr-FR"/>
        </w:rPr>
        <w:t>existence de tel</w:t>
      </w:r>
      <w:r w:rsidRPr="00FE3F9B" w:rsidR="00C21420">
        <w:rPr>
          <w:snapToGrid w:val="0"/>
          <w:lang w:val="fr-FR"/>
        </w:rPr>
        <w:t>s</w:t>
      </w:r>
      <w:r w:rsidRPr="00FE3F9B" w:rsidR="00E965FA">
        <w:rPr>
          <w:snapToGrid w:val="0"/>
          <w:lang w:val="fr-FR"/>
        </w:rPr>
        <w:t xml:space="preserve"> rapports et, le cas échéant, leur contenu.</w:t>
      </w:r>
    </w:p>
    <w:bookmarkStart w:name="usafor2" w:id="18"/>
    <w:p w:rsidRPr="00FE3F9B" w:rsidR="001753A1" w:rsidP="00FE3F9B" w:rsidRDefault="002D40C9">
      <w:pPr>
        <w:pStyle w:val="ECHRPara"/>
        <w:rPr>
          <w:i/>
          <w:lang w:val="fr-FR"/>
        </w:rPr>
      </w:pPr>
      <w:r w:rsidRPr="00FE3F9B">
        <w:rPr>
          <w:snapToGrid w:val="0"/>
          <w:lang w:val="fr-FR"/>
        </w:rPr>
        <w:fldChar w:fldCharType="begin"/>
      </w:r>
      <w:r w:rsidRPr="00FE3F9B">
        <w:rPr>
          <w:snapToGrid w:val="0"/>
          <w:lang w:val="fr-FR"/>
        </w:rPr>
        <w:instrText xml:space="preserve"> SEQ level0 \*arabic </w:instrText>
      </w:r>
      <w:r w:rsidRPr="00FE3F9B">
        <w:rPr>
          <w:snapToGrid w:val="0"/>
          <w:lang w:val="fr-FR"/>
        </w:rPr>
        <w:fldChar w:fldCharType="separate"/>
      </w:r>
      <w:r w:rsidRPr="00FE3F9B" w:rsidR="00FE3F9B">
        <w:rPr>
          <w:noProof/>
          <w:snapToGrid w:val="0"/>
          <w:lang w:val="fr-FR"/>
        </w:rPr>
        <w:t>57</w:t>
      </w:r>
      <w:r w:rsidRPr="00FE3F9B">
        <w:rPr>
          <w:snapToGrid w:val="0"/>
          <w:lang w:val="fr-FR"/>
        </w:rPr>
        <w:fldChar w:fldCharType="end"/>
      </w:r>
      <w:bookmarkEnd w:id="18"/>
      <w:r w:rsidRPr="00FE3F9B">
        <w:rPr>
          <w:snapToGrid w:val="0"/>
          <w:lang w:val="fr-FR"/>
        </w:rPr>
        <w:t>.  </w:t>
      </w:r>
      <w:r w:rsidRPr="00FE3F9B" w:rsidR="0097121D">
        <w:rPr>
          <w:snapToGrid w:val="0"/>
          <w:lang w:val="fr-FR"/>
        </w:rPr>
        <w:t>À</w:t>
      </w:r>
      <w:r w:rsidRPr="00FE3F9B" w:rsidR="00E965FA">
        <w:rPr>
          <w:snapToGrid w:val="0"/>
          <w:lang w:val="fr-FR"/>
        </w:rPr>
        <w:t xml:space="preserve"> la lumière de ces éléments, les conclusions des autorités chargées de l</w:t>
      </w:r>
      <w:r w:rsidRPr="00FE3F9B" w:rsidR="00FE3F9B">
        <w:rPr>
          <w:snapToGrid w:val="0"/>
          <w:lang w:val="fr-FR"/>
        </w:rPr>
        <w:t>’</w:t>
      </w:r>
      <w:r w:rsidRPr="00FE3F9B" w:rsidR="00E965FA">
        <w:rPr>
          <w:snapToGrid w:val="0"/>
          <w:lang w:val="fr-FR"/>
        </w:rPr>
        <w:t>instruction</w:t>
      </w:r>
      <w:r w:rsidRPr="00FE3F9B" w:rsidR="00760B21">
        <w:rPr>
          <w:snapToGrid w:val="0"/>
          <w:lang w:val="fr-FR"/>
        </w:rPr>
        <w:t>, tout comme celles du Gouvernement,</w:t>
      </w:r>
      <w:r w:rsidRPr="00FE3F9B" w:rsidR="00E965FA">
        <w:rPr>
          <w:snapToGrid w:val="0"/>
          <w:lang w:val="fr-FR"/>
        </w:rPr>
        <w:t xml:space="preserve"> sur la légalité et la nécessité du recours à la force physique en l</w:t>
      </w:r>
      <w:r w:rsidRPr="00FE3F9B" w:rsidR="00FE3F9B">
        <w:rPr>
          <w:snapToGrid w:val="0"/>
          <w:lang w:val="fr-FR"/>
        </w:rPr>
        <w:t>’</w:t>
      </w:r>
      <w:r w:rsidRPr="00FE3F9B" w:rsidR="00E965FA">
        <w:rPr>
          <w:snapToGrid w:val="0"/>
          <w:lang w:val="fr-FR"/>
        </w:rPr>
        <w:t>occurrence apparaissent comme dépourvues de fondement suffisant.</w:t>
      </w:r>
    </w:p>
    <w:p w:rsidRPr="00FE3F9B" w:rsidR="00953EE7" w:rsidP="00FE3F9B" w:rsidRDefault="00454C1E">
      <w:pPr>
        <w:pStyle w:val="ECHRPara"/>
        <w:rPr>
          <w:snapToGrid w:val="0"/>
          <w:lang w:val="fr-FR"/>
        </w:rPr>
      </w:pPr>
      <w:r w:rsidRPr="00FE3F9B">
        <w:rPr>
          <w:snapToGrid w:val="0"/>
          <w:lang w:val="fr-FR"/>
        </w:rPr>
        <w:fldChar w:fldCharType="begin"/>
      </w:r>
      <w:r w:rsidRPr="00FE3F9B">
        <w:rPr>
          <w:snapToGrid w:val="0"/>
          <w:lang w:val="fr-FR"/>
        </w:rPr>
        <w:instrText xml:space="preserve"> SEQ level0 \*arabic </w:instrText>
      </w:r>
      <w:r w:rsidRPr="00FE3F9B">
        <w:rPr>
          <w:snapToGrid w:val="0"/>
          <w:lang w:val="fr-FR"/>
        </w:rPr>
        <w:fldChar w:fldCharType="separate"/>
      </w:r>
      <w:r w:rsidRPr="00FE3F9B" w:rsidR="00FE3F9B">
        <w:rPr>
          <w:noProof/>
          <w:snapToGrid w:val="0"/>
          <w:lang w:val="fr-FR"/>
        </w:rPr>
        <w:t>58</w:t>
      </w:r>
      <w:r w:rsidRPr="00FE3F9B">
        <w:rPr>
          <w:snapToGrid w:val="0"/>
          <w:lang w:val="fr-FR"/>
        </w:rPr>
        <w:fldChar w:fldCharType="end"/>
      </w:r>
      <w:r w:rsidRPr="00FE3F9B">
        <w:rPr>
          <w:snapToGrid w:val="0"/>
          <w:lang w:val="fr-FR"/>
        </w:rPr>
        <w:t>.  </w:t>
      </w:r>
      <w:r w:rsidRPr="00FE3F9B" w:rsidR="0092652A">
        <w:rPr>
          <w:snapToGrid w:val="0"/>
          <w:lang w:val="fr-FR"/>
        </w:rPr>
        <w:t xml:space="preserve">La Cour </w:t>
      </w:r>
      <w:r w:rsidRPr="00FE3F9B" w:rsidR="008C3436">
        <w:rPr>
          <w:snapToGrid w:val="0"/>
          <w:lang w:val="fr-FR"/>
        </w:rPr>
        <w:t>note</w:t>
      </w:r>
      <w:r w:rsidRPr="00FE3F9B" w:rsidR="0092652A">
        <w:rPr>
          <w:snapToGrid w:val="0"/>
          <w:lang w:val="fr-FR"/>
        </w:rPr>
        <w:t xml:space="preserve"> ensuite qu</w:t>
      </w:r>
      <w:r w:rsidRPr="00FE3F9B" w:rsidR="0097121D">
        <w:rPr>
          <w:snapToGrid w:val="0"/>
          <w:lang w:val="fr-FR"/>
        </w:rPr>
        <w:t xml:space="preserve">e, </w:t>
      </w:r>
      <w:r w:rsidRPr="00FE3F9B" w:rsidR="0092652A">
        <w:rPr>
          <w:snapToGrid w:val="0"/>
          <w:lang w:val="fr-FR"/>
        </w:rPr>
        <w:t>e</w:t>
      </w:r>
      <w:r w:rsidRPr="00FE3F9B" w:rsidR="002701F6">
        <w:rPr>
          <w:snapToGrid w:val="0"/>
          <w:lang w:val="fr-FR"/>
        </w:rPr>
        <w:t>n contestant la présence des hématomes sur le thorax de la requérant</w:t>
      </w:r>
      <w:r w:rsidRPr="00FE3F9B" w:rsidR="00C017EB">
        <w:rPr>
          <w:snapToGrid w:val="0"/>
          <w:lang w:val="fr-FR"/>
        </w:rPr>
        <w:t>e lors de l</w:t>
      </w:r>
      <w:r w:rsidRPr="00FE3F9B" w:rsidR="00FE3F9B">
        <w:rPr>
          <w:snapToGrid w:val="0"/>
          <w:lang w:val="fr-FR"/>
        </w:rPr>
        <w:t>’</w:t>
      </w:r>
      <w:r w:rsidRPr="00FE3F9B" w:rsidR="00C017EB">
        <w:rPr>
          <w:snapToGrid w:val="0"/>
          <w:lang w:val="fr-FR"/>
        </w:rPr>
        <w:t>examen médical du 6 </w:t>
      </w:r>
      <w:r w:rsidRPr="00FE3F9B" w:rsidR="002701F6">
        <w:rPr>
          <w:snapToGrid w:val="0"/>
          <w:lang w:val="fr-FR"/>
        </w:rPr>
        <w:t>novembre 2001, le</w:t>
      </w:r>
      <w:r w:rsidRPr="00FE3F9B" w:rsidR="0092652A">
        <w:rPr>
          <w:snapToGrid w:val="0"/>
          <w:lang w:val="fr-FR"/>
        </w:rPr>
        <w:t xml:space="preserve"> Gouvernement, à l</w:t>
      </w:r>
      <w:r w:rsidRPr="00FE3F9B" w:rsidR="00FE3F9B">
        <w:rPr>
          <w:snapToGrid w:val="0"/>
          <w:lang w:val="fr-FR"/>
        </w:rPr>
        <w:t>’</w:t>
      </w:r>
      <w:r w:rsidRPr="00FE3F9B" w:rsidR="0092652A">
        <w:rPr>
          <w:snapToGrid w:val="0"/>
          <w:lang w:val="fr-FR"/>
        </w:rPr>
        <w:t xml:space="preserve">instar des </w:t>
      </w:r>
      <w:r w:rsidRPr="00FE3F9B" w:rsidR="008C3436">
        <w:rPr>
          <w:snapToGrid w:val="0"/>
          <w:lang w:val="fr-FR"/>
        </w:rPr>
        <w:t>autorités chargé</w:t>
      </w:r>
      <w:r w:rsidRPr="00FE3F9B" w:rsidR="009141A1">
        <w:rPr>
          <w:snapToGrid w:val="0"/>
          <w:lang w:val="fr-FR"/>
        </w:rPr>
        <w:t>e</w:t>
      </w:r>
      <w:r w:rsidRPr="00FE3F9B" w:rsidR="008C3436">
        <w:rPr>
          <w:snapToGrid w:val="0"/>
          <w:lang w:val="fr-FR"/>
        </w:rPr>
        <w:t>s d</w:t>
      </w:r>
      <w:r w:rsidRPr="00FE3F9B" w:rsidR="00A11399">
        <w:rPr>
          <w:snapToGrid w:val="0"/>
          <w:lang w:val="fr-FR"/>
        </w:rPr>
        <w:t>e l</w:t>
      </w:r>
      <w:r w:rsidRPr="00FE3F9B" w:rsidR="00FE3F9B">
        <w:rPr>
          <w:snapToGrid w:val="0"/>
          <w:lang w:val="fr-FR"/>
        </w:rPr>
        <w:t>’</w:t>
      </w:r>
      <w:r w:rsidRPr="00FE3F9B" w:rsidR="008C3436">
        <w:rPr>
          <w:snapToGrid w:val="0"/>
          <w:lang w:val="fr-FR"/>
        </w:rPr>
        <w:t xml:space="preserve">instruction, </w:t>
      </w:r>
      <w:r w:rsidRPr="00FE3F9B" w:rsidR="00B964FD">
        <w:rPr>
          <w:snapToGrid w:val="0"/>
          <w:lang w:val="fr-FR"/>
        </w:rPr>
        <w:t xml:space="preserve">fait valoir </w:t>
      </w:r>
      <w:r w:rsidRPr="00FE3F9B" w:rsidR="002701F6">
        <w:rPr>
          <w:snapToGrid w:val="0"/>
          <w:lang w:val="fr-FR"/>
        </w:rPr>
        <w:t xml:space="preserve">que </w:t>
      </w:r>
      <w:r w:rsidRPr="00FE3F9B" w:rsidR="0097121D">
        <w:rPr>
          <w:snapToGrid w:val="0"/>
          <w:lang w:val="fr-FR"/>
        </w:rPr>
        <w:t>les faits à l</w:t>
      </w:r>
      <w:r w:rsidRPr="00FE3F9B" w:rsidR="00FE3F9B">
        <w:rPr>
          <w:snapToGrid w:val="0"/>
          <w:lang w:val="fr-FR"/>
        </w:rPr>
        <w:t>’</w:t>
      </w:r>
      <w:r w:rsidRPr="00FE3F9B" w:rsidR="0097121D">
        <w:rPr>
          <w:snapToGrid w:val="0"/>
          <w:lang w:val="fr-FR"/>
        </w:rPr>
        <w:t xml:space="preserve">origine de ces lésions ont pu survenir </w:t>
      </w:r>
      <w:r w:rsidRPr="00FE3F9B" w:rsidR="002701F6">
        <w:rPr>
          <w:snapToGrid w:val="0"/>
          <w:lang w:val="fr-FR"/>
        </w:rPr>
        <w:t>après l</w:t>
      </w:r>
      <w:r w:rsidRPr="00FE3F9B" w:rsidR="00FE3F9B">
        <w:rPr>
          <w:snapToGrid w:val="0"/>
          <w:lang w:val="fr-FR"/>
        </w:rPr>
        <w:t>’</w:t>
      </w:r>
      <w:r w:rsidRPr="00FE3F9B" w:rsidR="002701F6">
        <w:rPr>
          <w:snapToGrid w:val="0"/>
          <w:lang w:val="fr-FR"/>
        </w:rPr>
        <w:t xml:space="preserve">incident litigieux. La Cour </w:t>
      </w:r>
      <w:r w:rsidRPr="00FE3F9B" w:rsidR="0097121D">
        <w:rPr>
          <w:snapToGrid w:val="0"/>
          <w:lang w:val="fr-FR"/>
        </w:rPr>
        <w:t>relève</w:t>
      </w:r>
      <w:r w:rsidRPr="00FE3F9B" w:rsidR="002701F6">
        <w:rPr>
          <w:snapToGrid w:val="0"/>
          <w:lang w:val="fr-FR"/>
        </w:rPr>
        <w:t xml:space="preserve"> que </w:t>
      </w:r>
      <w:r w:rsidRPr="00FE3F9B" w:rsidR="00C21420">
        <w:rPr>
          <w:snapToGrid w:val="0"/>
          <w:lang w:val="fr-FR"/>
        </w:rPr>
        <w:t>le</w:t>
      </w:r>
      <w:r w:rsidRPr="00FE3F9B" w:rsidR="002701F6">
        <w:rPr>
          <w:snapToGrid w:val="0"/>
          <w:lang w:val="fr-FR"/>
        </w:rPr>
        <w:t xml:space="preserve"> médecin légiste</w:t>
      </w:r>
      <w:r w:rsidRPr="00FE3F9B" w:rsidR="0097121D">
        <w:rPr>
          <w:snapToGrid w:val="0"/>
          <w:lang w:val="fr-FR"/>
        </w:rPr>
        <w:t>,</w:t>
      </w:r>
      <w:r w:rsidRPr="00FE3F9B" w:rsidR="002701F6">
        <w:rPr>
          <w:snapToGrid w:val="0"/>
          <w:lang w:val="fr-FR"/>
        </w:rPr>
        <w:t xml:space="preserve"> </w:t>
      </w:r>
      <w:r w:rsidRPr="00FE3F9B" w:rsidR="002D40C9">
        <w:rPr>
          <w:snapToGrid w:val="0"/>
          <w:lang w:val="fr-FR"/>
        </w:rPr>
        <w:t>en se basant sur les résultats</w:t>
      </w:r>
      <w:r w:rsidRPr="00FE3F9B" w:rsidR="002701F6">
        <w:rPr>
          <w:snapToGrid w:val="0"/>
          <w:lang w:val="fr-FR"/>
        </w:rPr>
        <w:t xml:space="preserve"> de l</w:t>
      </w:r>
      <w:r w:rsidRPr="00FE3F9B" w:rsidR="00FE3F9B">
        <w:rPr>
          <w:snapToGrid w:val="0"/>
          <w:lang w:val="fr-FR"/>
        </w:rPr>
        <w:t>’</w:t>
      </w:r>
      <w:r w:rsidRPr="00FE3F9B" w:rsidR="002701F6">
        <w:rPr>
          <w:snapToGrid w:val="0"/>
          <w:lang w:val="fr-FR"/>
        </w:rPr>
        <w:t xml:space="preserve">examen </w:t>
      </w:r>
      <w:r w:rsidRPr="00FE3F9B" w:rsidR="002D40C9">
        <w:rPr>
          <w:snapToGrid w:val="0"/>
          <w:lang w:val="fr-FR"/>
        </w:rPr>
        <w:t xml:space="preserve">médical de la requérante </w:t>
      </w:r>
      <w:r w:rsidRPr="00FE3F9B" w:rsidR="00E479DB">
        <w:rPr>
          <w:snapToGrid w:val="0"/>
          <w:lang w:val="fr-FR"/>
        </w:rPr>
        <w:t>du 9 novembre 2001, a établi que</w:t>
      </w:r>
      <w:r w:rsidRPr="00FE3F9B" w:rsidR="002701F6">
        <w:rPr>
          <w:snapToGrid w:val="0"/>
          <w:lang w:val="fr-FR"/>
        </w:rPr>
        <w:t xml:space="preserve"> </w:t>
      </w:r>
      <w:r w:rsidRPr="00FE3F9B" w:rsidR="009E402B">
        <w:rPr>
          <w:snapToGrid w:val="0"/>
          <w:lang w:val="fr-FR"/>
        </w:rPr>
        <w:t>c</w:t>
      </w:r>
      <w:r w:rsidRPr="00FE3F9B" w:rsidR="00E479DB">
        <w:rPr>
          <w:snapToGrid w:val="0"/>
          <w:lang w:val="fr-FR"/>
        </w:rPr>
        <w:t xml:space="preserve">es </w:t>
      </w:r>
      <w:r w:rsidRPr="00FE3F9B" w:rsidR="002701F6">
        <w:rPr>
          <w:snapToGrid w:val="0"/>
          <w:lang w:val="fr-FR"/>
        </w:rPr>
        <w:t>hématomes</w:t>
      </w:r>
      <w:r w:rsidRPr="00FE3F9B" w:rsidR="0097121D">
        <w:rPr>
          <w:snapToGrid w:val="0"/>
          <w:lang w:val="fr-FR"/>
        </w:rPr>
        <w:t xml:space="preserve"> étaient</w:t>
      </w:r>
      <w:r w:rsidRPr="00FE3F9B" w:rsidR="00E479DB">
        <w:rPr>
          <w:snapToGrid w:val="0"/>
          <w:lang w:val="fr-FR"/>
        </w:rPr>
        <w:t xml:space="preserve"> apparu</w:t>
      </w:r>
      <w:r w:rsidRPr="00FE3F9B" w:rsidR="0097121D">
        <w:rPr>
          <w:snapToGrid w:val="0"/>
          <w:lang w:val="fr-FR"/>
        </w:rPr>
        <w:t>s</w:t>
      </w:r>
      <w:r w:rsidRPr="00FE3F9B" w:rsidR="00E479DB">
        <w:rPr>
          <w:snapToGrid w:val="0"/>
          <w:lang w:val="fr-FR"/>
        </w:rPr>
        <w:t xml:space="preserve"> </w:t>
      </w:r>
      <w:r w:rsidRPr="00FE3F9B" w:rsidR="002D40C9">
        <w:rPr>
          <w:snapToGrid w:val="0"/>
          <w:lang w:val="fr-FR"/>
        </w:rPr>
        <w:t xml:space="preserve">trois à quatre jours avant ledit </w:t>
      </w:r>
      <w:r w:rsidRPr="00FE3F9B" w:rsidR="002701F6">
        <w:rPr>
          <w:snapToGrid w:val="0"/>
          <w:lang w:val="fr-FR"/>
        </w:rPr>
        <w:t>examen</w:t>
      </w:r>
      <w:r w:rsidRPr="00FE3F9B" w:rsidR="00A11399">
        <w:rPr>
          <w:snapToGrid w:val="0"/>
          <w:lang w:val="fr-FR"/>
        </w:rPr>
        <w:t xml:space="preserve"> </w:t>
      </w:r>
      <w:r w:rsidRPr="00FE3F9B" w:rsidR="002D40C9">
        <w:rPr>
          <w:snapToGrid w:val="0"/>
          <w:lang w:val="fr-FR"/>
        </w:rPr>
        <w:t xml:space="preserve">(paragraphe </w:t>
      </w:r>
      <w:r w:rsidRPr="00FE3F9B" w:rsidR="002D40C9">
        <w:rPr>
          <w:snapToGrid w:val="0"/>
          <w:lang w:val="fr-FR"/>
        </w:rPr>
        <w:fldChar w:fldCharType="begin"/>
      </w:r>
      <w:r w:rsidRPr="00FE3F9B" w:rsidR="002D40C9">
        <w:rPr>
          <w:snapToGrid w:val="0"/>
          <w:lang w:val="fr-FR"/>
        </w:rPr>
        <w:instrText xml:space="preserve"> REF rappexp19nov \h </w:instrText>
      </w:r>
      <w:r w:rsidRPr="00FE3F9B" w:rsidR="002D40C9">
        <w:rPr>
          <w:snapToGrid w:val="0"/>
          <w:lang w:val="fr-FR"/>
        </w:rPr>
      </w:r>
      <w:r w:rsidRPr="00FE3F9B" w:rsidR="002D40C9">
        <w:rPr>
          <w:snapToGrid w:val="0"/>
          <w:lang w:val="fr-FR"/>
        </w:rPr>
        <w:fldChar w:fldCharType="separate"/>
      </w:r>
      <w:r w:rsidRPr="00FE3F9B" w:rsidR="00FE3F9B">
        <w:rPr>
          <w:noProof/>
          <w:lang w:val="fr-FR"/>
        </w:rPr>
        <w:t>15</w:t>
      </w:r>
      <w:r w:rsidRPr="00FE3F9B" w:rsidR="002D40C9">
        <w:rPr>
          <w:snapToGrid w:val="0"/>
          <w:lang w:val="fr-FR"/>
        </w:rPr>
        <w:fldChar w:fldCharType="end"/>
      </w:r>
      <w:r w:rsidRPr="00FE3F9B" w:rsidR="002D40C9">
        <w:rPr>
          <w:snapToGrid w:val="0"/>
          <w:lang w:val="fr-FR"/>
        </w:rPr>
        <w:t xml:space="preserve"> ci</w:t>
      </w:r>
      <w:r w:rsidRPr="00FE3F9B" w:rsidR="002D40C9">
        <w:rPr>
          <w:snapToGrid w:val="0"/>
          <w:lang w:val="fr-FR"/>
        </w:rPr>
        <w:noBreakHyphen/>
        <w:t>dessus)</w:t>
      </w:r>
      <w:r w:rsidRPr="00FE3F9B" w:rsidR="009E402B">
        <w:rPr>
          <w:snapToGrid w:val="0"/>
          <w:lang w:val="fr-FR"/>
        </w:rPr>
        <w:t>,</w:t>
      </w:r>
      <w:r w:rsidRPr="00FE3F9B" w:rsidR="002D40C9">
        <w:rPr>
          <w:snapToGrid w:val="0"/>
          <w:lang w:val="fr-FR"/>
        </w:rPr>
        <w:t xml:space="preserve"> </w:t>
      </w:r>
      <w:r w:rsidRPr="00FE3F9B" w:rsidR="00A11399">
        <w:rPr>
          <w:snapToGrid w:val="0"/>
          <w:lang w:val="fr-FR"/>
        </w:rPr>
        <w:t>ce qui exclu</w:t>
      </w:r>
      <w:r w:rsidRPr="00FE3F9B" w:rsidR="009141A1">
        <w:rPr>
          <w:snapToGrid w:val="0"/>
          <w:lang w:val="fr-FR"/>
        </w:rPr>
        <w:t>t</w:t>
      </w:r>
      <w:r w:rsidRPr="00FE3F9B" w:rsidR="00A11399">
        <w:rPr>
          <w:snapToGrid w:val="0"/>
          <w:lang w:val="fr-FR"/>
        </w:rPr>
        <w:t xml:space="preserve"> </w:t>
      </w:r>
      <w:r w:rsidRPr="00FE3F9B" w:rsidR="009E402B">
        <w:rPr>
          <w:snapToGrid w:val="0"/>
          <w:lang w:val="fr-FR"/>
        </w:rPr>
        <w:t>la possibilité d</w:t>
      </w:r>
      <w:r w:rsidRPr="00FE3F9B" w:rsidR="00FE3F9B">
        <w:rPr>
          <w:snapToGrid w:val="0"/>
          <w:lang w:val="fr-FR"/>
        </w:rPr>
        <w:t>’</w:t>
      </w:r>
      <w:r w:rsidRPr="00FE3F9B" w:rsidR="009E402B">
        <w:rPr>
          <w:snapToGrid w:val="0"/>
          <w:lang w:val="fr-FR"/>
        </w:rPr>
        <w:t xml:space="preserve">une </w:t>
      </w:r>
      <w:r w:rsidRPr="00FE3F9B" w:rsidR="00A11399">
        <w:rPr>
          <w:snapToGrid w:val="0"/>
          <w:lang w:val="fr-FR"/>
        </w:rPr>
        <w:t>apparition des lésions en question après le 6 novembre 2001</w:t>
      </w:r>
      <w:r w:rsidRPr="00FE3F9B" w:rsidR="002701F6">
        <w:rPr>
          <w:snapToGrid w:val="0"/>
          <w:lang w:val="fr-FR"/>
        </w:rPr>
        <w:t xml:space="preserve">. </w:t>
      </w:r>
      <w:r w:rsidRPr="00FE3F9B" w:rsidR="009141A1">
        <w:rPr>
          <w:snapToGrid w:val="0"/>
          <w:lang w:val="fr-FR"/>
        </w:rPr>
        <w:t xml:space="preserve">Par ailleurs, </w:t>
      </w:r>
      <w:r w:rsidRPr="00FE3F9B" w:rsidR="00961109">
        <w:rPr>
          <w:snapToGrid w:val="0"/>
          <w:lang w:val="fr-FR"/>
        </w:rPr>
        <w:t>l</w:t>
      </w:r>
      <w:r w:rsidRPr="00FE3F9B" w:rsidR="00FE3F9B">
        <w:rPr>
          <w:snapToGrid w:val="0"/>
          <w:lang w:val="fr-FR"/>
        </w:rPr>
        <w:t>’</w:t>
      </w:r>
      <w:r w:rsidRPr="00FE3F9B" w:rsidR="00961109">
        <w:rPr>
          <w:snapToGrid w:val="0"/>
          <w:lang w:val="fr-FR"/>
        </w:rPr>
        <w:t>enquête préliminaire a laissé sans réponse</w:t>
      </w:r>
      <w:r w:rsidRPr="00FE3F9B" w:rsidR="00646C5C">
        <w:rPr>
          <w:snapToGrid w:val="0"/>
          <w:lang w:val="fr-FR"/>
        </w:rPr>
        <w:t xml:space="preserve"> </w:t>
      </w:r>
      <w:r w:rsidRPr="00FE3F9B" w:rsidR="008C3436">
        <w:rPr>
          <w:snapToGrid w:val="0"/>
          <w:lang w:val="fr-FR"/>
        </w:rPr>
        <w:t xml:space="preserve">la </w:t>
      </w:r>
      <w:r w:rsidRPr="00FE3F9B" w:rsidR="00646C5C">
        <w:rPr>
          <w:snapToGrid w:val="0"/>
          <w:lang w:val="fr-FR"/>
        </w:rPr>
        <w:t xml:space="preserve">question </w:t>
      </w:r>
      <w:r w:rsidRPr="00FE3F9B" w:rsidR="008C3436">
        <w:rPr>
          <w:snapToGrid w:val="0"/>
          <w:lang w:val="fr-FR"/>
        </w:rPr>
        <w:t>de savoir quelle</w:t>
      </w:r>
      <w:r w:rsidRPr="00FE3F9B" w:rsidR="00961109">
        <w:rPr>
          <w:snapToGrid w:val="0"/>
          <w:lang w:val="fr-FR"/>
        </w:rPr>
        <w:t xml:space="preserve"> était </w:t>
      </w:r>
      <w:r w:rsidRPr="00FE3F9B" w:rsidR="009141A1">
        <w:rPr>
          <w:snapToGrid w:val="0"/>
          <w:lang w:val="fr-FR"/>
        </w:rPr>
        <w:t>l</w:t>
      </w:r>
      <w:r w:rsidRPr="00FE3F9B" w:rsidR="00FE3F9B">
        <w:rPr>
          <w:snapToGrid w:val="0"/>
          <w:lang w:val="fr-FR"/>
        </w:rPr>
        <w:t>’</w:t>
      </w:r>
      <w:r w:rsidRPr="00FE3F9B" w:rsidR="009141A1">
        <w:rPr>
          <w:snapToGrid w:val="0"/>
          <w:lang w:val="fr-FR"/>
        </w:rPr>
        <w:t xml:space="preserve">origine de la </w:t>
      </w:r>
      <w:r w:rsidRPr="00FE3F9B" w:rsidR="002D40C9">
        <w:rPr>
          <w:snapToGrid w:val="0"/>
          <w:lang w:val="fr-FR"/>
        </w:rPr>
        <w:t>contusion de l</w:t>
      </w:r>
      <w:r w:rsidRPr="00FE3F9B" w:rsidR="00FE3F9B">
        <w:rPr>
          <w:snapToGrid w:val="0"/>
          <w:lang w:val="fr-FR"/>
        </w:rPr>
        <w:t>’</w:t>
      </w:r>
      <w:r w:rsidRPr="00FE3F9B" w:rsidR="002D40C9">
        <w:rPr>
          <w:snapToGrid w:val="0"/>
          <w:lang w:val="fr-FR"/>
        </w:rPr>
        <w:t xml:space="preserve">arcade droite constatée sur la requérante </w:t>
      </w:r>
      <w:r w:rsidRPr="00FE3F9B" w:rsidR="00961109">
        <w:rPr>
          <w:snapToGrid w:val="0"/>
          <w:lang w:val="fr-FR"/>
        </w:rPr>
        <w:t>tant</w:t>
      </w:r>
      <w:r w:rsidRPr="00FE3F9B" w:rsidR="002D40C9">
        <w:rPr>
          <w:snapToGrid w:val="0"/>
          <w:lang w:val="fr-FR"/>
        </w:rPr>
        <w:t xml:space="preserve"> lors de l</w:t>
      </w:r>
      <w:r w:rsidRPr="00FE3F9B" w:rsidR="00FE3F9B">
        <w:rPr>
          <w:snapToGrid w:val="0"/>
          <w:lang w:val="fr-FR"/>
        </w:rPr>
        <w:t>’</w:t>
      </w:r>
      <w:r w:rsidRPr="00FE3F9B" w:rsidR="002D40C9">
        <w:rPr>
          <w:snapToGrid w:val="0"/>
          <w:lang w:val="fr-FR"/>
        </w:rPr>
        <w:t>examen médical a</w:t>
      </w:r>
      <w:r w:rsidRPr="00FE3F9B" w:rsidR="000902E6">
        <w:rPr>
          <w:snapToGrid w:val="0"/>
          <w:lang w:val="fr-FR"/>
        </w:rPr>
        <w:t>u service de traumatologie du 6 </w:t>
      </w:r>
      <w:r w:rsidRPr="00FE3F9B" w:rsidR="002D40C9">
        <w:rPr>
          <w:snapToGrid w:val="0"/>
          <w:lang w:val="fr-FR"/>
        </w:rPr>
        <w:t>novembre 2001</w:t>
      </w:r>
      <w:r w:rsidRPr="00FE3F9B" w:rsidR="000902E6">
        <w:rPr>
          <w:snapToGrid w:val="0"/>
          <w:lang w:val="fr-FR"/>
        </w:rPr>
        <w:t xml:space="preserve"> </w:t>
      </w:r>
      <w:r w:rsidRPr="00FE3F9B" w:rsidR="002D40C9">
        <w:rPr>
          <w:snapToGrid w:val="0"/>
          <w:lang w:val="fr-FR"/>
        </w:rPr>
        <w:t>que lors de l</w:t>
      </w:r>
      <w:r w:rsidRPr="00FE3F9B" w:rsidR="00FE3F9B">
        <w:rPr>
          <w:snapToGrid w:val="0"/>
          <w:lang w:val="fr-FR"/>
        </w:rPr>
        <w:t>’</w:t>
      </w:r>
      <w:r w:rsidRPr="00FE3F9B" w:rsidR="002D40C9">
        <w:rPr>
          <w:snapToGrid w:val="0"/>
          <w:lang w:val="fr-FR"/>
        </w:rPr>
        <w:t>examen par le médecin légiste du 9 novembre 2001</w:t>
      </w:r>
      <w:r w:rsidRPr="00FE3F9B" w:rsidR="00961109">
        <w:rPr>
          <w:snapToGrid w:val="0"/>
          <w:lang w:val="fr-FR"/>
        </w:rPr>
        <w:t xml:space="preserve">. </w:t>
      </w:r>
      <w:r w:rsidRPr="00FE3F9B" w:rsidR="00787E4D">
        <w:rPr>
          <w:snapToGrid w:val="0"/>
          <w:lang w:val="fr-FR"/>
        </w:rPr>
        <w:t>Le Gouvernement n</w:t>
      </w:r>
      <w:r w:rsidRPr="00FE3F9B" w:rsidR="00FE3F9B">
        <w:rPr>
          <w:snapToGrid w:val="0"/>
          <w:lang w:val="fr-FR"/>
        </w:rPr>
        <w:t>’</w:t>
      </w:r>
      <w:r w:rsidRPr="00FE3F9B" w:rsidR="00787E4D">
        <w:rPr>
          <w:snapToGrid w:val="0"/>
          <w:lang w:val="fr-FR"/>
        </w:rPr>
        <w:t>a pa</w:t>
      </w:r>
      <w:r w:rsidRPr="00FE3F9B" w:rsidR="000902E6">
        <w:rPr>
          <w:snapToGrid w:val="0"/>
          <w:lang w:val="fr-FR"/>
        </w:rPr>
        <w:t>s non plus fourni d</w:t>
      </w:r>
      <w:r w:rsidRPr="00FE3F9B" w:rsidR="00FE3F9B">
        <w:rPr>
          <w:snapToGrid w:val="0"/>
          <w:lang w:val="fr-FR"/>
        </w:rPr>
        <w:t>’</w:t>
      </w:r>
      <w:r w:rsidRPr="00FE3F9B" w:rsidR="000902E6">
        <w:rPr>
          <w:snapToGrid w:val="0"/>
          <w:lang w:val="fr-FR"/>
        </w:rPr>
        <w:t>explication plausible</w:t>
      </w:r>
      <w:r w:rsidRPr="00FE3F9B" w:rsidR="00787E4D">
        <w:rPr>
          <w:snapToGrid w:val="0"/>
          <w:lang w:val="fr-FR"/>
        </w:rPr>
        <w:t xml:space="preserve"> quant</w:t>
      </w:r>
      <w:r w:rsidRPr="00FE3F9B" w:rsidR="006328EB">
        <w:rPr>
          <w:snapToGrid w:val="0"/>
          <w:lang w:val="fr-FR"/>
        </w:rPr>
        <w:t xml:space="preserve"> à l</w:t>
      </w:r>
      <w:r w:rsidRPr="00FE3F9B" w:rsidR="00FE3F9B">
        <w:rPr>
          <w:snapToGrid w:val="0"/>
          <w:lang w:val="fr-FR"/>
        </w:rPr>
        <w:t>’</w:t>
      </w:r>
      <w:r w:rsidRPr="00FE3F9B" w:rsidR="006328EB">
        <w:rPr>
          <w:snapToGrid w:val="0"/>
          <w:lang w:val="fr-FR"/>
        </w:rPr>
        <w:t>origine de cette</w:t>
      </w:r>
      <w:r w:rsidRPr="00FE3F9B" w:rsidR="003059E6">
        <w:rPr>
          <w:snapToGrid w:val="0"/>
          <w:lang w:val="fr-FR"/>
        </w:rPr>
        <w:t xml:space="preserve"> blessure.</w:t>
      </w:r>
    </w:p>
    <w:p w:rsidRPr="00FE3F9B" w:rsidR="00953EE7" w:rsidP="00FE3F9B" w:rsidRDefault="00454C1E">
      <w:pPr>
        <w:pStyle w:val="ECHRPara"/>
        <w:rPr>
          <w:snapToGrid w:val="0"/>
          <w:lang w:val="fr-FR"/>
        </w:rPr>
      </w:pPr>
      <w:r w:rsidRPr="00FE3F9B">
        <w:rPr>
          <w:snapToGrid w:val="0"/>
          <w:lang w:val="fr-FR"/>
        </w:rPr>
        <w:fldChar w:fldCharType="begin"/>
      </w:r>
      <w:r w:rsidRPr="00FE3F9B">
        <w:rPr>
          <w:snapToGrid w:val="0"/>
          <w:lang w:val="fr-FR"/>
        </w:rPr>
        <w:instrText xml:space="preserve"> SEQ level0 \*arabic </w:instrText>
      </w:r>
      <w:r w:rsidRPr="00FE3F9B">
        <w:rPr>
          <w:snapToGrid w:val="0"/>
          <w:lang w:val="fr-FR"/>
        </w:rPr>
        <w:fldChar w:fldCharType="separate"/>
      </w:r>
      <w:r w:rsidRPr="00FE3F9B" w:rsidR="00FE3F9B">
        <w:rPr>
          <w:noProof/>
          <w:snapToGrid w:val="0"/>
          <w:lang w:val="fr-FR"/>
        </w:rPr>
        <w:t>59</w:t>
      </w:r>
      <w:r w:rsidRPr="00FE3F9B">
        <w:rPr>
          <w:snapToGrid w:val="0"/>
          <w:lang w:val="fr-FR"/>
        </w:rPr>
        <w:fldChar w:fldCharType="end"/>
      </w:r>
      <w:r w:rsidRPr="00FE3F9B">
        <w:rPr>
          <w:snapToGrid w:val="0"/>
          <w:lang w:val="fr-FR"/>
        </w:rPr>
        <w:t>.  </w:t>
      </w:r>
      <w:r w:rsidRPr="00FE3F9B" w:rsidR="00961109">
        <w:rPr>
          <w:snapToGrid w:val="0"/>
          <w:lang w:val="fr-FR"/>
        </w:rPr>
        <w:t xml:space="preserve">En </w:t>
      </w:r>
      <w:r w:rsidRPr="00FE3F9B" w:rsidR="009E402B">
        <w:rPr>
          <w:snapToGrid w:val="0"/>
          <w:lang w:val="fr-FR"/>
        </w:rPr>
        <w:t>l</w:t>
      </w:r>
      <w:r w:rsidRPr="00FE3F9B" w:rsidR="00FE3F9B">
        <w:rPr>
          <w:snapToGrid w:val="0"/>
          <w:lang w:val="fr-FR"/>
        </w:rPr>
        <w:t>’</w:t>
      </w:r>
      <w:r w:rsidRPr="00FE3F9B" w:rsidR="00961109">
        <w:rPr>
          <w:snapToGrid w:val="0"/>
          <w:lang w:val="fr-FR"/>
        </w:rPr>
        <w:t>absence d</w:t>
      </w:r>
      <w:r w:rsidRPr="00FE3F9B" w:rsidR="00FE3F9B">
        <w:rPr>
          <w:snapToGrid w:val="0"/>
          <w:lang w:val="fr-FR"/>
        </w:rPr>
        <w:t>’</w:t>
      </w:r>
      <w:r w:rsidRPr="00FE3F9B" w:rsidR="00961109">
        <w:rPr>
          <w:snapToGrid w:val="0"/>
          <w:lang w:val="fr-FR"/>
        </w:rPr>
        <w:t>explication</w:t>
      </w:r>
      <w:r w:rsidRPr="00FE3F9B" w:rsidR="009E402B">
        <w:rPr>
          <w:snapToGrid w:val="0"/>
          <w:lang w:val="fr-FR"/>
        </w:rPr>
        <w:t>s</w:t>
      </w:r>
      <w:r w:rsidRPr="00FE3F9B" w:rsidR="00961109">
        <w:rPr>
          <w:snapToGrid w:val="0"/>
          <w:lang w:val="fr-FR"/>
        </w:rPr>
        <w:t xml:space="preserve"> satisfaisante</w:t>
      </w:r>
      <w:r w:rsidRPr="00FE3F9B" w:rsidR="009E402B">
        <w:rPr>
          <w:snapToGrid w:val="0"/>
          <w:lang w:val="fr-FR"/>
        </w:rPr>
        <w:t>s</w:t>
      </w:r>
      <w:r w:rsidRPr="00FE3F9B" w:rsidR="00961109">
        <w:rPr>
          <w:snapToGrid w:val="0"/>
          <w:lang w:val="fr-FR"/>
        </w:rPr>
        <w:t xml:space="preserve"> et convaincante</w:t>
      </w:r>
      <w:r w:rsidRPr="00FE3F9B" w:rsidR="009E402B">
        <w:rPr>
          <w:snapToGrid w:val="0"/>
          <w:lang w:val="fr-FR"/>
        </w:rPr>
        <w:t>s quant à</w:t>
      </w:r>
      <w:r w:rsidRPr="00FE3F9B" w:rsidR="00961109">
        <w:rPr>
          <w:snapToGrid w:val="0"/>
          <w:lang w:val="fr-FR"/>
        </w:rPr>
        <w:t xml:space="preserve"> l</w:t>
      </w:r>
      <w:r w:rsidRPr="00FE3F9B" w:rsidR="00FE3F9B">
        <w:rPr>
          <w:snapToGrid w:val="0"/>
          <w:lang w:val="fr-FR"/>
        </w:rPr>
        <w:t>’</w:t>
      </w:r>
      <w:r w:rsidRPr="00FE3F9B" w:rsidR="00787E4D">
        <w:rPr>
          <w:snapToGrid w:val="0"/>
          <w:lang w:val="fr-FR"/>
        </w:rPr>
        <w:t>origine des blessures</w:t>
      </w:r>
      <w:r w:rsidRPr="00FE3F9B" w:rsidR="00CC2AFF">
        <w:rPr>
          <w:snapToGrid w:val="0"/>
          <w:lang w:val="fr-FR"/>
        </w:rPr>
        <w:t xml:space="preserve"> présentées p</w:t>
      </w:r>
      <w:r w:rsidRPr="00FE3F9B" w:rsidR="009E402B">
        <w:rPr>
          <w:snapToGrid w:val="0"/>
          <w:lang w:val="fr-FR"/>
        </w:rPr>
        <w:t>ar la requérante</w:t>
      </w:r>
      <w:r w:rsidRPr="00FE3F9B" w:rsidR="00787E4D">
        <w:rPr>
          <w:snapToGrid w:val="0"/>
          <w:lang w:val="fr-FR"/>
        </w:rPr>
        <w:t xml:space="preserve">, la Cour </w:t>
      </w:r>
      <w:r w:rsidRPr="00FE3F9B" w:rsidR="009E402B">
        <w:rPr>
          <w:snapToGrid w:val="0"/>
          <w:lang w:val="fr-FR"/>
        </w:rPr>
        <w:t>considère</w:t>
      </w:r>
      <w:r w:rsidRPr="00FE3F9B" w:rsidR="00787E4D">
        <w:rPr>
          <w:snapToGrid w:val="0"/>
          <w:lang w:val="fr-FR"/>
        </w:rPr>
        <w:t xml:space="preserve"> qu</w:t>
      </w:r>
      <w:r w:rsidRPr="00FE3F9B" w:rsidR="009E402B">
        <w:rPr>
          <w:snapToGrid w:val="0"/>
          <w:lang w:val="fr-FR"/>
        </w:rPr>
        <w:t>e ce</w:t>
      </w:r>
      <w:r w:rsidRPr="00FE3F9B" w:rsidR="00787E4D">
        <w:rPr>
          <w:snapToGrid w:val="0"/>
          <w:lang w:val="fr-FR"/>
        </w:rPr>
        <w:t>lles</w:t>
      </w:r>
      <w:r w:rsidRPr="00FE3F9B" w:rsidR="009E402B">
        <w:rPr>
          <w:snapToGrid w:val="0"/>
          <w:lang w:val="fr-FR"/>
        </w:rPr>
        <w:t>-ci</w:t>
      </w:r>
      <w:r w:rsidRPr="00FE3F9B" w:rsidR="00787E4D">
        <w:rPr>
          <w:snapToGrid w:val="0"/>
          <w:lang w:val="fr-FR"/>
        </w:rPr>
        <w:t xml:space="preserve"> ont été</w:t>
      </w:r>
      <w:r w:rsidRPr="00FE3F9B" w:rsidR="008C3436">
        <w:rPr>
          <w:snapToGrid w:val="0"/>
          <w:lang w:val="fr-FR"/>
        </w:rPr>
        <w:t xml:space="preserve"> </w:t>
      </w:r>
      <w:r w:rsidRPr="00FE3F9B" w:rsidR="00FC0533">
        <w:rPr>
          <w:snapToGrid w:val="0"/>
          <w:lang w:val="fr-FR"/>
        </w:rPr>
        <w:t>causées</w:t>
      </w:r>
      <w:r w:rsidRPr="00FE3F9B" w:rsidR="008C3436">
        <w:rPr>
          <w:snapToGrid w:val="0"/>
          <w:lang w:val="fr-FR"/>
        </w:rPr>
        <w:t xml:space="preserve"> à l</w:t>
      </w:r>
      <w:r w:rsidRPr="00FE3F9B" w:rsidR="00FE3F9B">
        <w:rPr>
          <w:snapToGrid w:val="0"/>
          <w:lang w:val="fr-FR"/>
        </w:rPr>
        <w:t>’</w:t>
      </w:r>
      <w:r w:rsidRPr="00FE3F9B" w:rsidR="00FC0533">
        <w:rPr>
          <w:snapToGrid w:val="0"/>
          <w:lang w:val="fr-FR"/>
        </w:rPr>
        <w:t>intéressée</w:t>
      </w:r>
      <w:r w:rsidRPr="00FE3F9B" w:rsidR="008C3436">
        <w:rPr>
          <w:snapToGrid w:val="0"/>
          <w:lang w:val="fr-FR"/>
        </w:rPr>
        <w:t xml:space="preserve"> le 6 </w:t>
      </w:r>
      <w:r w:rsidRPr="00FE3F9B" w:rsidR="00787E4D">
        <w:rPr>
          <w:snapToGrid w:val="0"/>
          <w:lang w:val="fr-FR"/>
        </w:rPr>
        <w:t>novembre 2001 lors de l</w:t>
      </w:r>
      <w:r w:rsidRPr="00FE3F9B" w:rsidR="00FE3F9B">
        <w:rPr>
          <w:snapToGrid w:val="0"/>
          <w:lang w:val="fr-FR"/>
        </w:rPr>
        <w:t>’</w:t>
      </w:r>
      <w:r w:rsidRPr="00FE3F9B" w:rsidR="00787E4D">
        <w:rPr>
          <w:snapToGrid w:val="0"/>
          <w:lang w:val="fr-FR"/>
        </w:rPr>
        <w:t xml:space="preserve">usage de </w:t>
      </w:r>
      <w:r w:rsidRPr="00FE3F9B" w:rsidR="00CC2AFF">
        <w:rPr>
          <w:snapToGrid w:val="0"/>
          <w:lang w:val="fr-FR"/>
        </w:rPr>
        <w:t xml:space="preserve">la </w:t>
      </w:r>
      <w:r w:rsidRPr="00FE3F9B" w:rsidR="00787E4D">
        <w:rPr>
          <w:snapToGrid w:val="0"/>
          <w:lang w:val="fr-FR"/>
        </w:rPr>
        <w:t xml:space="preserve">force par les policiers </w:t>
      </w:r>
      <w:r w:rsidRPr="00FE3F9B">
        <w:rPr>
          <w:snapToGrid w:val="0"/>
          <w:lang w:val="fr-FR"/>
        </w:rPr>
        <w:t xml:space="preserve">P. et </w:t>
      </w:r>
      <w:r w:rsidRPr="00FE3F9B" w:rsidR="00787E4D">
        <w:rPr>
          <w:snapToGrid w:val="0"/>
          <w:lang w:val="fr-FR"/>
        </w:rPr>
        <w:t>T</w:t>
      </w:r>
      <w:r w:rsidRPr="00FE3F9B" w:rsidR="006328EB">
        <w:rPr>
          <w:snapToGrid w:val="0"/>
          <w:lang w:val="fr-FR"/>
        </w:rPr>
        <w:t>.</w:t>
      </w:r>
      <w:r w:rsidRPr="00FE3F9B" w:rsidR="00994964">
        <w:rPr>
          <w:snapToGrid w:val="0"/>
          <w:lang w:val="fr-FR"/>
        </w:rPr>
        <w:t xml:space="preserve"> (comparer avec </w:t>
      </w:r>
      <w:r w:rsidRPr="00FE3F9B" w:rsidR="00994964">
        <w:rPr>
          <w:i/>
          <w:snapToGrid w:val="0"/>
          <w:lang w:val="fr-FR"/>
        </w:rPr>
        <w:t>Ryabtsev</w:t>
      </w:r>
      <w:r w:rsidRPr="00FE3F9B" w:rsidR="00994964">
        <w:rPr>
          <w:snapToGrid w:val="0"/>
          <w:lang w:val="fr-FR"/>
        </w:rPr>
        <w:t>, précité, § 75)</w:t>
      </w:r>
      <w:r w:rsidRPr="00FE3F9B" w:rsidR="00787E4D">
        <w:rPr>
          <w:snapToGrid w:val="0"/>
          <w:lang w:val="fr-FR"/>
        </w:rPr>
        <w:t>.</w:t>
      </w:r>
    </w:p>
    <w:p w:rsidRPr="00FE3F9B" w:rsidR="00E479DB" w:rsidP="00FE3F9B" w:rsidRDefault="00454C1E">
      <w:pPr>
        <w:pStyle w:val="ECHRPara"/>
        <w:rPr>
          <w:snapToGrid w:val="0"/>
          <w:lang w:val="fr-FR"/>
        </w:rPr>
      </w:pPr>
      <w:r w:rsidRPr="00FE3F9B">
        <w:rPr>
          <w:snapToGrid w:val="0"/>
          <w:lang w:val="fr-FR"/>
        </w:rPr>
        <w:fldChar w:fldCharType="begin"/>
      </w:r>
      <w:r w:rsidRPr="00FE3F9B">
        <w:rPr>
          <w:snapToGrid w:val="0"/>
          <w:lang w:val="fr-FR"/>
        </w:rPr>
        <w:instrText xml:space="preserve"> SEQ level0 \*arabic </w:instrText>
      </w:r>
      <w:r w:rsidRPr="00FE3F9B">
        <w:rPr>
          <w:snapToGrid w:val="0"/>
          <w:lang w:val="fr-FR"/>
        </w:rPr>
        <w:fldChar w:fldCharType="separate"/>
      </w:r>
      <w:r w:rsidRPr="00FE3F9B" w:rsidR="00FE3F9B">
        <w:rPr>
          <w:noProof/>
          <w:snapToGrid w:val="0"/>
          <w:lang w:val="fr-FR"/>
        </w:rPr>
        <w:t>60</w:t>
      </w:r>
      <w:r w:rsidRPr="00FE3F9B">
        <w:rPr>
          <w:snapToGrid w:val="0"/>
          <w:lang w:val="fr-FR"/>
        </w:rPr>
        <w:fldChar w:fldCharType="end"/>
      </w:r>
      <w:r w:rsidRPr="00FE3F9B">
        <w:rPr>
          <w:snapToGrid w:val="0"/>
          <w:lang w:val="fr-FR"/>
        </w:rPr>
        <w:t>.  </w:t>
      </w:r>
      <w:r w:rsidRPr="00FE3F9B" w:rsidR="00787E4D">
        <w:rPr>
          <w:snapToGrid w:val="0"/>
          <w:lang w:val="fr-FR"/>
        </w:rPr>
        <w:t>Se pose donc la question de savoir si la force physique dont il a été fait usage à l</w:t>
      </w:r>
      <w:r w:rsidRPr="00FE3F9B" w:rsidR="00FE3F9B">
        <w:rPr>
          <w:snapToGrid w:val="0"/>
          <w:lang w:val="fr-FR"/>
        </w:rPr>
        <w:t>’</w:t>
      </w:r>
      <w:r w:rsidRPr="00FE3F9B" w:rsidR="00787E4D">
        <w:rPr>
          <w:snapToGrid w:val="0"/>
          <w:lang w:val="fr-FR"/>
        </w:rPr>
        <w:t xml:space="preserve">encontre de la requérante était ou non rendue strictement nécessaire par </w:t>
      </w:r>
      <w:r w:rsidRPr="00FE3F9B" w:rsidR="00FC0533">
        <w:rPr>
          <w:snapToGrid w:val="0"/>
          <w:lang w:val="fr-FR"/>
        </w:rPr>
        <w:t>le</w:t>
      </w:r>
      <w:r w:rsidRPr="00FE3F9B" w:rsidR="00787E4D">
        <w:rPr>
          <w:snapToGrid w:val="0"/>
          <w:lang w:val="fr-FR"/>
        </w:rPr>
        <w:t xml:space="preserve"> comportement</w:t>
      </w:r>
      <w:r w:rsidRPr="00FE3F9B" w:rsidR="00FC0533">
        <w:rPr>
          <w:snapToGrid w:val="0"/>
          <w:lang w:val="fr-FR"/>
        </w:rPr>
        <w:t xml:space="preserve"> de cette dernière</w:t>
      </w:r>
      <w:r w:rsidRPr="00FE3F9B" w:rsidR="00787E4D">
        <w:rPr>
          <w:snapToGrid w:val="0"/>
          <w:lang w:val="fr-FR"/>
        </w:rPr>
        <w:t>. Eu égard à ses conclusions au</w:t>
      </w:r>
      <w:r w:rsidRPr="00FE3F9B" w:rsidR="009141A1">
        <w:rPr>
          <w:snapToGrid w:val="0"/>
          <w:lang w:val="fr-FR"/>
        </w:rPr>
        <w:t>x</w:t>
      </w:r>
      <w:r w:rsidRPr="00FE3F9B" w:rsidR="00787E4D">
        <w:rPr>
          <w:snapToGrid w:val="0"/>
          <w:lang w:val="fr-FR"/>
        </w:rPr>
        <w:t xml:space="preserve"> paragraphe</w:t>
      </w:r>
      <w:r w:rsidRPr="00FE3F9B" w:rsidR="009141A1">
        <w:rPr>
          <w:snapToGrid w:val="0"/>
          <w:lang w:val="fr-FR"/>
        </w:rPr>
        <w:t>s</w:t>
      </w:r>
      <w:r w:rsidRPr="00FE3F9B" w:rsidR="00787E4D">
        <w:rPr>
          <w:snapToGrid w:val="0"/>
          <w:lang w:val="fr-FR"/>
        </w:rPr>
        <w:t xml:space="preserve"> </w:t>
      </w:r>
      <w:r w:rsidRPr="00FE3F9B" w:rsidR="002D40C9">
        <w:rPr>
          <w:snapToGrid w:val="0"/>
          <w:lang w:val="fr-FR"/>
        </w:rPr>
        <w:fldChar w:fldCharType="begin"/>
      </w:r>
      <w:r w:rsidRPr="00FE3F9B" w:rsidR="002D40C9">
        <w:rPr>
          <w:snapToGrid w:val="0"/>
          <w:lang w:val="fr-FR"/>
        </w:rPr>
        <w:instrText xml:space="preserve"> REF usfor1 \h </w:instrText>
      </w:r>
      <w:r w:rsidRPr="00FE3F9B" w:rsidR="002D40C9">
        <w:rPr>
          <w:snapToGrid w:val="0"/>
          <w:lang w:val="fr-FR"/>
        </w:rPr>
      </w:r>
      <w:r w:rsidRPr="00FE3F9B" w:rsidR="002D40C9">
        <w:rPr>
          <w:snapToGrid w:val="0"/>
          <w:lang w:val="fr-FR"/>
        </w:rPr>
        <w:fldChar w:fldCharType="separate"/>
      </w:r>
      <w:r w:rsidRPr="00FE3F9B" w:rsidR="00FE3F9B">
        <w:rPr>
          <w:noProof/>
          <w:snapToGrid w:val="0"/>
          <w:lang w:val="fr-FR"/>
        </w:rPr>
        <w:t>53</w:t>
      </w:r>
      <w:r w:rsidRPr="00FE3F9B" w:rsidR="002D40C9">
        <w:rPr>
          <w:snapToGrid w:val="0"/>
          <w:lang w:val="fr-FR"/>
        </w:rPr>
        <w:fldChar w:fldCharType="end"/>
      </w:r>
      <w:r w:rsidRPr="00FE3F9B" w:rsidR="002D40C9">
        <w:rPr>
          <w:snapToGrid w:val="0"/>
          <w:lang w:val="fr-FR"/>
        </w:rPr>
        <w:noBreakHyphen/>
      </w:r>
      <w:r w:rsidRPr="00FE3F9B" w:rsidR="002D40C9">
        <w:rPr>
          <w:snapToGrid w:val="0"/>
          <w:lang w:val="fr-FR"/>
        </w:rPr>
        <w:fldChar w:fldCharType="begin"/>
      </w:r>
      <w:r w:rsidRPr="00FE3F9B" w:rsidR="002D40C9">
        <w:rPr>
          <w:snapToGrid w:val="0"/>
          <w:lang w:val="fr-FR"/>
        </w:rPr>
        <w:instrText xml:space="preserve"> REF usafor2 \h </w:instrText>
      </w:r>
      <w:r w:rsidRPr="00FE3F9B" w:rsidR="002D40C9">
        <w:rPr>
          <w:snapToGrid w:val="0"/>
          <w:lang w:val="fr-FR"/>
        </w:rPr>
      </w:r>
      <w:r w:rsidRPr="00FE3F9B" w:rsidR="002D40C9">
        <w:rPr>
          <w:snapToGrid w:val="0"/>
          <w:lang w:val="fr-FR"/>
        </w:rPr>
        <w:fldChar w:fldCharType="separate"/>
      </w:r>
      <w:r w:rsidRPr="00FE3F9B" w:rsidR="00FE3F9B">
        <w:rPr>
          <w:noProof/>
          <w:snapToGrid w:val="0"/>
          <w:lang w:val="fr-FR"/>
        </w:rPr>
        <w:t>57</w:t>
      </w:r>
      <w:r w:rsidRPr="00FE3F9B" w:rsidR="002D40C9">
        <w:rPr>
          <w:snapToGrid w:val="0"/>
          <w:lang w:val="fr-FR"/>
        </w:rPr>
        <w:fldChar w:fldCharType="end"/>
      </w:r>
      <w:r w:rsidRPr="00FE3F9B" w:rsidR="002D40C9">
        <w:rPr>
          <w:snapToGrid w:val="0"/>
          <w:lang w:val="fr-FR"/>
        </w:rPr>
        <w:t xml:space="preserve"> </w:t>
      </w:r>
      <w:r w:rsidRPr="00FE3F9B" w:rsidR="00760B21">
        <w:rPr>
          <w:snapToGrid w:val="0"/>
          <w:lang w:val="fr-FR"/>
        </w:rPr>
        <w:t>ci</w:t>
      </w:r>
      <w:r w:rsidRPr="00FE3F9B" w:rsidR="00760B21">
        <w:rPr>
          <w:snapToGrid w:val="0"/>
          <w:lang w:val="fr-FR"/>
        </w:rPr>
        <w:noBreakHyphen/>
      </w:r>
      <w:r w:rsidRPr="00FE3F9B" w:rsidR="00787E4D">
        <w:rPr>
          <w:snapToGrid w:val="0"/>
          <w:lang w:val="fr-FR"/>
        </w:rPr>
        <w:t>dessus, la Cour estime qu</w:t>
      </w:r>
      <w:r w:rsidRPr="00FE3F9B" w:rsidR="00FE3F9B">
        <w:rPr>
          <w:snapToGrid w:val="0"/>
          <w:lang w:val="fr-FR"/>
        </w:rPr>
        <w:t>’</w:t>
      </w:r>
      <w:r w:rsidRPr="00FE3F9B" w:rsidR="00787E4D">
        <w:rPr>
          <w:snapToGrid w:val="0"/>
          <w:lang w:val="fr-FR"/>
        </w:rPr>
        <w:t>aucun élément du dossier ne démontre que la requérante ait fait preuve d</w:t>
      </w:r>
      <w:r w:rsidRPr="00FE3F9B" w:rsidR="00FE3F9B">
        <w:rPr>
          <w:snapToGrid w:val="0"/>
          <w:lang w:val="fr-FR"/>
        </w:rPr>
        <w:t>’</w:t>
      </w:r>
      <w:r w:rsidRPr="00FE3F9B" w:rsidR="00787E4D">
        <w:rPr>
          <w:snapToGrid w:val="0"/>
          <w:lang w:val="fr-FR"/>
        </w:rPr>
        <w:t>une résistance physique ou d</w:t>
      </w:r>
      <w:r w:rsidRPr="00FE3F9B" w:rsidR="00FE3F9B">
        <w:rPr>
          <w:snapToGrid w:val="0"/>
          <w:lang w:val="fr-FR"/>
        </w:rPr>
        <w:t>’</w:t>
      </w:r>
      <w:r w:rsidRPr="00FE3F9B" w:rsidR="00787E4D">
        <w:rPr>
          <w:snapToGrid w:val="0"/>
          <w:lang w:val="fr-FR"/>
        </w:rPr>
        <w:t>un risque de comportements violents</w:t>
      </w:r>
      <w:r w:rsidRPr="00FE3F9B" w:rsidR="003059E6">
        <w:rPr>
          <w:snapToGrid w:val="0"/>
          <w:lang w:val="fr-FR"/>
        </w:rPr>
        <w:t>. Les lésions constatées sur la requérante</w:t>
      </w:r>
      <w:r w:rsidRPr="00FE3F9B" w:rsidR="002D40C9">
        <w:rPr>
          <w:snapToGrid w:val="0"/>
          <w:lang w:val="fr-FR"/>
        </w:rPr>
        <w:t xml:space="preserve"> par le médecin légiste (paragraphe </w:t>
      </w:r>
      <w:r w:rsidRPr="00FE3F9B" w:rsidR="002D40C9">
        <w:rPr>
          <w:snapToGrid w:val="0"/>
          <w:lang w:val="fr-FR"/>
        </w:rPr>
        <w:fldChar w:fldCharType="begin"/>
      </w:r>
      <w:r w:rsidRPr="00FE3F9B" w:rsidR="002D40C9">
        <w:rPr>
          <w:snapToGrid w:val="0"/>
          <w:lang w:val="fr-FR"/>
        </w:rPr>
        <w:instrText xml:space="preserve"> REF rappexp19nov \h </w:instrText>
      </w:r>
      <w:r w:rsidRPr="00FE3F9B" w:rsidR="002D40C9">
        <w:rPr>
          <w:snapToGrid w:val="0"/>
          <w:lang w:val="fr-FR"/>
        </w:rPr>
      </w:r>
      <w:r w:rsidRPr="00FE3F9B" w:rsidR="002D40C9">
        <w:rPr>
          <w:snapToGrid w:val="0"/>
          <w:lang w:val="fr-FR"/>
        </w:rPr>
        <w:fldChar w:fldCharType="separate"/>
      </w:r>
      <w:r w:rsidRPr="00FE3F9B" w:rsidR="00FE3F9B">
        <w:rPr>
          <w:noProof/>
          <w:lang w:val="fr-FR"/>
        </w:rPr>
        <w:t>15</w:t>
      </w:r>
      <w:r w:rsidRPr="00FE3F9B" w:rsidR="002D40C9">
        <w:rPr>
          <w:snapToGrid w:val="0"/>
          <w:lang w:val="fr-FR"/>
        </w:rPr>
        <w:fldChar w:fldCharType="end"/>
      </w:r>
      <w:r w:rsidRPr="00FE3F9B" w:rsidR="002D40C9">
        <w:rPr>
          <w:snapToGrid w:val="0"/>
          <w:lang w:val="fr-FR"/>
        </w:rPr>
        <w:t xml:space="preserve"> ci</w:t>
      </w:r>
      <w:r w:rsidRPr="00FE3F9B" w:rsidR="002D40C9">
        <w:rPr>
          <w:snapToGrid w:val="0"/>
          <w:lang w:val="fr-FR"/>
        </w:rPr>
        <w:noBreakHyphen/>
        <w:t>dessus)</w:t>
      </w:r>
      <w:r w:rsidRPr="00FE3F9B" w:rsidR="003059E6">
        <w:rPr>
          <w:snapToGrid w:val="0"/>
          <w:lang w:val="fr-FR"/>
        </w:rPr>
        <w:t xml:space="preserve"> attestent de l</w:t>
      </w:r>
      <w:r w:rsidRPr="00FE3F9B" w:rsidR="00FE3F9B">
        <w:rPr>
          <w:snapToGrid w:val="0"/>
          <w:lang w:val="fr-FR"/>
        </w:rPr>
        <w:t>’</w:t>
      </w:r>
      <w:r w:rsidRPr="00FE3F9B" w:rsidR="003059E6">
        <w:rPr>
          <w:snapToGrid w:val="0"/>
          <w:lang w:val="fr-FR"/>
        </w:rPr>
        <w:t xml:space="preserve">intensité de la force physique dont il a été fait usage </w:t>
      </w:r>
      <w:r w:rsidRPr="00FE3F9B" w:rsidR="00AD1B3F">
        <w:rPr>
          <w:snapToGrid w:val="0"/>
          <w:lang w:val="fr-FR"/>
        </w:rPr>
        <w:t>à l</w:t>
      </w:r>
      <w:r w:rsidRPr="00FE3F9B" w:rsidR="00FE3F9B">
        <w:rPr>
          <w:snapToGrid w:val="0"/>
          <w:lang w:val="fr-FR"/>
        </w:rPr>
        <w:t>’</w:t>
      </w:r>
      <w:r w:rsidRPr="00FE3F9B" w:rsidR="00AD1B3F">
        <w:rPr>
          <w:snapToGrid w:val="0"/>
          <w:lang w:val="fr-FR"/>
        </w:rPr>
        <w:t>en</w:t>
      </w:r>
      <w:r w:rsidRPr="00FE3F9B" w:rsidR="003059E6">
        <w:rPr>
          <w:snapToGrid w:val="0"/>
          <w:lang w:val="fr-FR"/>
        </w:rPr>
        <w:t xml:space="preserve">contre </w:t>
      </w:r>
      <w:r w:rsidRPr="00FE3F9B" w:rsidR="00AD1B3F">
        <w:rPr>
          <w:snapToGrid w:val="0"/>
          <w:lang w:val="fr-FR"/>
        </w:rPr>
        <w:t xml:space="preserve">de </w:t>
      </w:r>
      <w:r w:rsidRPr="00FE3F9B" w:rsidR="003059E6">
        <w:rPr>
          <w:snapToGrid w:val="0"/>
          <w:lang w:val="fr-FR"/>
        </w:rPr>
        <w:t>l</w:t>
      </w:r>
      <w:r w:rsidRPr="00FE3F9B" w:rsidR="00FE3F9B">
        <w:rPr>
          <w:snapToGrid w:val="0"/>
          <w:lang w:val="fr-FR"/>
        </w:rPr>
        <w:t>’</w:t>
      </w:r>
      <w:r w:rsidRPr="00FE3F9B" w:rsidR="003059E6">
        <w:rPr>
          <w:snapToGrid w:val="0"/>
          <w:lang w:val="fr-FR"/>
        </w:rPr>
        <w:t xml:space="preserve">intéressée. </w:t>
      </w:r>
      <w:r w:rsidRPr="00FE3F9B">
        <w:rPr>
          <w:snapToGrid w:val="0"/>
          <w:lang w:val="fr-FR"/>
        </w:rPr>
        <w:t>Dans ces circonstances</w:t>
      </w:r>
      <w:r w:rsidRPr="00FE3F9B" w:rsidR="00787E4D">
        <w:rPr>
          <w:snapToGrid w:val="0"/>
          <w:lang w:val="fr-FR"/>
        </w:rPr>
        <w:t xml:space="preserve">, </w:t>
      </w:r>
      <w:r w:rsidRPr="00FE3F9B">
        <w:rPr>
          <w:snapToGrid w:val="0"/>
          <w:lang w:val="fr-FR"/>
        </w:rPr>
        <w:t>la Cour estime que le Gouvernement n</w:t>
      </w:r>
      <w:r w:rsidRPr="00FE3F9B" w:rsidR="00FE3F9B">
        <w:rPr>
          <w:snapToGrid w:val="0"/>
          <w:lang w:val="fr-FR"/>
        </w:rPr>
        <w:t>’</w:t>
      </w:r>
      <w:r w:rsidRPr="00FE3F9B">
        <w:rPr>
          <w:snapToGrid w:val="0"/>
          <w:lang w:val="fr-FR"/>
        </w:rPr>
        <w:t>a pas démontré que le recours à la force était à la fois proportionné et strictement nécessaire</w:t>
      </w:r>
      <w:r w:rsidRPr="00FE3F9B" w:rsidR="00787E4D">
        <w:rPr>
          <w:snapToGrid w:val="0"/>
          <w:lang w:val="fr-FR"/>
        </w:rPr>
        <w:t>.</w:t>
      </w:r>
    </w:p>
    <w:bookmarkStart w:name="viol3m" w:id="19"/>
    <w:p w:rsidRPr="00FE3F9B" w:rsidR="00953EE7" w:rsidP="00FE3F9B" w:rsidRDefault="00CF656C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61</w:t>
      </w:r>
      <w:r w:rsidRPr="00FE3F9B">
        <w:rPr>
          <w:lang w:val="fr-FR"/>
        </w:rPr>
        <w:fldChar w:fldCharType="end"/>
      </w:r>
      <w:bookmarkEnd w:id="19"/>
      <w:r w:rsidRPr="00FE3F9B">
        <w:rPr>
          <w:lang w:val="fr-FR"/>
        </w:rPr>
        <w:t>.  </w:t>
      </w:r>
      <w:r w:rsidRPr="00FE3F9B" w:rsidR="00787E4D">
        <w:rPr>
          <w:lang w:val="fr-FR"/>
        </w:rPr>
        <w:t xml:space="preserve">Partant, il y a eu violation </w:t>
      </w:r>
      <w:r w:rsidRPr="00FE3F9B" w:rsidR="00163CEA">
        <w:rPr>
          <w:lang w:val="fr-FR"/>
        </w:rPr>
        <w:t>de l</w:t>
      </w:r>
      <w:r w:rsidRPr="00FE3F9B" w:rsidR="00FE3F9B">
        <w:rPr>
          <w:lang w:val="fr-FR"/>
        </w:rPr>
        <w:t>’</w:t>
      </w:r>
      <w:r w:rsidRPr="00FE3F9B" w:rsidR="00163CEA">
        <w:rPr>
          <w:lang w:val="fr-FR"/>
        </w:rPr>
        <w:t>article 3 de la Convention sous son volet matériel.</w:t>
      </w:r>
    </w:p>
    <w:p w:rsidRPr="00FE3F9B" w:rsidR="00454185" w:rsidP="00FE3F9B" w:rsidRDefault="00454185">
      <w:pPr>
        <w:pStyle w:val="ECHRHeading1"/>
        <w:rPr>
          <w:lang w:val="fr-FR"/>
        </w:rPr>
      </w:pPr>
      <w:r w:rsidRPr="00FE3F9B">
        <w:rPr>
          <w:lang w:val="fr-FR"/>
        </w:rPr>
        <w:t>I</w:t>
      </w:r>
      <w:r w:rsidRPr="00FE3F9B" w:rsidR="00F65EAC">
        <w:rPr>
          <w:lang w:val="fr-FR"/>
        </w:rPr>
        <w:t>I</w:t>
      </w:r>
      <w:r w:rsidRPr="00FE3F9B">
        <w:rPr>
          <w:lang w:val="fr-FR"/>
        </w:rPr>
        <w:t>.  SUR LA VIOLATION ALLÉGUÉE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ARTICLE 13 DE LA CONVENTION</w:t>
      </w:r>
    </w:p>
    <w:p w:rsidRPr="00FE3F9B" w:rsidR="002A62DE" w:rsidP="00FE3F9B" w:rsidRDefault="002A62DE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62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La requérante allègue qu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elle a été privée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un recours effectif quant à son grief relatif aux mauvais traitements </w:t>
      </w:r>
      <w:r w:rsidRPr="00FE3F9B" w:rsidR="00B07BA0">
        <w:rPr>
          <w:lang w:val="fr-FR"/>
        </w:rPr>
        <w:t xml:space="preserve">dénoncés </w:t>
      </w:r>
      <w:r w:rsidRPr="00FE3F9B" w:rsidR="00967316">
        <w:rPr>
          <w:lang w:val="fr-FR"/>
        </w:rPr>
        <w:t xml:space="preserve">par elle </w:t>
      </w:r>
      <w:r w:rsidRPr="00FE3F9B">
        <w:rPr>
          <w:lang w:val="fr-FR"/>
        </w:rPr>
        <w:t>fondé sur la Convention. Elle invoque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article 13 de la Convention, qui dispose :</w:t>
      </w:r>
    </w:p>
    <w:p w:rsidRPr="00FE3F9B" w:rsidR="002A62DE" w:rsidP="00FE3F9B" w:rsidRDefault="002A62DE">
      <w:pPr>
        <w:pStyle w:val="ECHRTitleCentre3"/>
        <w:rPr>
          <w:lang w:val="fr-FR"/>
        </w:rPr>
      </w:pPr>
      <w:r w:rsidRPr="00FE3F9B">
        <w:rPr>
          <w:lang w:val="fr-FR"/>
        </w:rPr>
        <w:t>Article 13</w:t>
      </w:r>
    </w:p>
    <w:p w:rsidRPr="00FE3F9B" w:rsidR="002A62DE" w:rsidP="00FE3F9B" w:rsidRDefault="002A62DE">
      <w:pPr>
        <w:pStyle w:val="ECHRParaQuote"/>
        <w:rPr>
          <w:lang w:val="fr-FR"/>
        </w:rPr>
      </w:pPr>
      <w:r w:rsidRPr="00FE3F9B">
        <w:rPr>
          <w:lang w:val="fr-FR"/>
        </w:rPr>
        <w:t>« Toute personne dont les droits et libertés reconnus dans la (...) Convention ont été violés, a droit à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octroi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un recours effectif devant une instance nationale, alors même que la violation aurait été commise par des personnes agissant dans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exercice de leurs fonctions officielles. »</w:t>
      </w:r>
    </w:p>
    <w:p w:rsidRPr="00FE3F9B" w:rsidR="00454185" w:rsidP="00FE3F9B" w:rsidRDefault="00454185">
      <w:pPr>
        <w:pStyle w:val="ECHRHeading2"/>
        <w:rPr>
          <w:lang w:val="fr-FR"/>
        </w:rPr>
      </w:pPr>
      <w:r w:rsidRPr="00FE3F9B">
        <w:rPr>
          <w:lang w:val="fr-FR"/>
        </w:rPr>
        <w:t>A.  Thèses des parties</w:t>
      </w:r>
    </w:p>
    <w:p w:rsidRPr="00FE3F9B" w:rsidR="00454185" w:rsidP="00FE3F9B" w:rsidRDefault="00454185">
      <w:pPr>
        <w:pStyle w:val="ECHRHeading3"/>
        <w:rPr>
          <w:lang w:val="fr-FR"/>
        </w:rPr>
      </w:pPr>
      <w:r w:rsidRPr="00FE3F9B">
        <w:rPr>
          <w:lang w:val="fr-FR"/>
        </w:rPr>
        <w:t>1.  Le Gouvernement</w:t>
      </w:r>
    </w:p>
    <w:p w:rsidRPr="00FE3F9B" w:rsidR="00953EE7" w:rsidP="00FE3F9B" w:rsidRDefault="00454185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63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</w:t>
      </w:r>
      <w:r w:rsidRPr="00FE3F9B" w:rsidR="00B07BA0">
        <w:rPr>
          <w:lang w:val="fr-FR"/>
        </w:rPr>
        <w:t xml:space="preserve">En ce qui concerne </w:t>
      </w:r>
      <w:r w:rsidRPr="00FE3F9B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existence de voies de recours effectif</w:t>
      </w:r>
      <w:r w:rsidRPr="00FE3F9B" w:rsidR="00B07BA0">
        <w:rPr>
          <w:lang w:val="fr-FR"/>
        </w:rPr>
        <w:t>s</w:t>
      </w:r>
      <w:r w:rsidRPr="00FE3F9B">
        <w:rPr>
          <w:lang w:val="fr-FR"/>
        </w:rPr>
        <w:t>, le Gouvernement fait valoir que la requérante a pu contester le refus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ouv</w:t>
      </w:r>
      <w:r w:rsidRPr="00FE3F9B" w:rsidR="00B91A81">
        <w:rPr>
          <w:lang w:val="fr-FR"/>
        </w:rPr>
        <w:t>erture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une enquête pénale du 11 novembre 2009 devant le tribunal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arrondissement Avtozavodski de Nijni Novgorod ainsi que devant la cour régionale de Nijni Novgorod. </w:t>
      </w:r>
      <w:r w:rsidRPr="00FE3F9B" w:rsidR="00B07BA0">
        <w:rPr>
          <w:lang w:val="fr-FR"/>
        </w:rPr>
        <w:t>Il est d</w:t>
      </w:r>
      <w:r w:rsidRPr="00FE3F9B" w:rsidR="00FE3F9B">
        <w:rPr>
          <w:lang w:val="fr-FR"/>
        </w:rPr>
        <w:t>’</w:t>
      </w:r>
      <w:r w:rsidRPr="00FE3F9B" w:rsidR="00B07BA0">
        <w:rPr>
          <w:lang w:val="fr-FR"/>
        </w:rPr>
        <w:t>avis que l</w:t>
      </w:r>
      <w:r w:rsidRPr="00FE3F9B">
        <w:rPr>
          <w:lang w:val="fr-FR"/>
        </w:rPr>
        <w:t>e fait que les juridictions nationales ont rejeté la contestation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intéressée ne remet pas en cause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effectivité de ce recours. Le Gouvernement estime en outre que la requérante aurait pu introduire un recours sur la base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article 1085 du code civil </w:t>
      </w:r>
      <w:r w:rsidRPr="00FE3F9B" w:rsidR="0038120E">
        <w:rPr>
          <w:lang w:val="fr-FR"/>
        </w:rPr>
        <w:t xml:space="preserve">(CC) </w:t>
      </w:r>
      <w:r w:rsidRPr="00FE3F9B">
        <w:rPr>
          <w:lang w:val="fr-FR"/>
        </w:rPr>
        <w:t>afin de demander un dédommagement pour le préjudice à sa santé.</w:t>
      </w:r>
    </w:p>
    <w:p w:rsidRPr="00FE3F9B" w:rsidR="00953EE7" w:rsidP="00FE3F9B" w:rsidRDefault="00262406">
      <w:pPr>
        <w:pStyle w:val="ECHRHeading3"/>
        <w:rPr>
          <w:lang w:val="fr-FR"/>
        </w:rPr>
      </w:pPr>
      <w:r w:rsidRPr="00FE3F9B">
        <w:rPr>
          <w:lang w:val="fr-FR"/>
        </w:rPr>
        <w:t>2.  La requérante</w:t>
      </w:r>
    </w:p>
    <w:p w:rsidRPr="00FE3F9B" w:rsidR="00953EE7" w:rsidP="00FE3F9B" w:rsidRDefault="00454185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64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La requérante soutient qu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en </w:t>
      </w:r>
      <w:r w:rsidRPr="00FE3F9B" w:rsidR="00B07BA0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absence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 xml:space="preserve">une enquête </w:t>
      </w:r>
      <w:r w:rsidRPr="00FE3F9B" w:rsidR="0038120E">
        <w:rPr>
          <w:lang w:val="fr-FR"/>
        </w:rPr>
        <w:t xml:space="preserve">effective elle a été privée </w:t>
      </w:r>
      <w:r w:rsidRPr="00FE3F9B" w:rsidR="00B07BA0">
        <w:rPr>
          <w:lang w:val="fr-FR"/>
        </w:rPr>
        <w:t xml:space="preserve">de la possibilité </w:t>
      </w:r>
      <w:r w:rsidRPr="00FE3F9B" w:rsidR="0038120E">
        <w:rPr>
          <w:lang w:val="fr-FR"/>
        </w:rPr>
        <w:t>d</w:t>
      </w:r>
      <w:r w:rsidRPr="00FE3F9B" w:rsidR="00FE3F9B">
        <w:rPr>
          <w:lang w:val="fr-FR"/>
        </w:rPr>
        <w:t>’</w:t>
      </w:r>
      <w:r w:rsidRPr="00FE3F9B" w:rsidR="0038120E">
        <w:rPr>
          <w:lang w:val="fr-FR"/>
        </w:rPr>
        <w:t xml:space="preserve">obtenir une réparation pour le préjudice </w:t>
      </w:r>
      <w:r w:rsidRPr="00FE3F9B" w:rsidR="00721CEC">
        <w:rPr>
          <w:lang w:val="fr-FR"/>
        </w:rPr>
        <w:t xml:space="preserve">matériel et/ou moral </w:t>
      </w:r>
      <w:r w:rsidRPr="00FE3F9B">
        <w:rPr>
          <w:lang w:val="fr-FR"/>
        </w:rPr>
        <w:t>par le biais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une action civile.</w:t>
      </w:r>
      <w:r w:rsidRPr="00FE3F9B" w:rsidR="0038120E">
        <w:rPr>
          <w:lang w:val="fr-FR"/>
        </w:rPr>
        <w:t xml:space="preserve"> </w:t>
      </w:r>
      <w:r w:rsidRPr="00FE3F9B" w:rsidR="007C1402">
        <w:rPr>
          <w:lang w:val="fr-FR"/>
        </w:rPr>
        <w:t>Faisant référence à l</w:t>
      </w:r>
      <w:r w:rsidRPr="00FE3F9B" w:rsidR="00FE3F9B">
        <w:rPr>
          <w:lang w:val="fr-FR"/>
        </w:rPr>
        <w:t>’</w:t>
      </w:r>
      <w:r w:rsidRPr="00FE3F9B" w:rsidR="007C1402">
        <w:rPr>
          <w:lang w:val="fr-FR"/>
        </w:rPr>
        <w:t>article 1069 du CC, e</w:t>
      </w:r>
      <w:r w:rsidRPr="00FE3F9B" w:rsidR="0038120E">
        <w:rPr>
          <w:lang w:val="fr-FR"/>
        </w:rPr>
        <w:t>lle argue que tout octroi d</w:t>
      </w:r>
      <w:r w:rsidRPr="00FE3F9B" w:rsidR="00FE3F9B">
        <w:rPr>
          <w:lang w:val="fr-FR"/>
        </w:rPr>
        <w:t>’</w:t>
      </w:r>
      <w:r w:rsidRPr="00FE3F9B" w:rsidR="0038120E">
        <w:rPr>
          <w:lang w:val="fr-FR"/>
        </w:rPr>
        <w:t xml:space="preserve">une réparation par les tribunaux civils sur la base de </w:t>
      </w:r>
      <w:r w:rsidRPr="00FE3F9B" w:rsidR="007C1402">
        <w:rPr>
          <w:lang w:val="fr-FR"/>
        </w:rPr>
        <w:t>cette disposition</w:t>
      </w:r>
      <w:r w:rsidRPr="00FE3F9B" w:rsidR="0038120E">
        <w:rPr>
          <w:lang w:val="fr-FR"/>
        </w:rPr>
        <w:t xml:space="preserve"> </w:t>
      </w:r>
      <w:r w:rsidRPr="00FE3F9B" w:rsidR="00721CEC">
        <w:rPr>
          <w:lang w:val="fr-FR"/>
        </w:rPr>
        <w:t>n</w:t>
      </w:r>
      <w:r w:rsidRPr="00FE3F9B" w:rsidR="00FE3F9B">
        <w:rPr>
          <w:lang w:val="fr-FR"/>
        </w:rPr>
        <w:t>’</w:t>
      </w:r>
      <w:r w:rsidRPr="00FE3F9B" w:rsidR="0038120E">
        <w:rPr>
          <w:lang w:val="fr-FR"/>
        </w:rPr>
        <w:t xml:space="preserve">est possible </w:t>
      </w:r>
      <w:r w:rsidRPr="00FE3F9B" w:rsidR="00721CEC">
        <w:rPr>
          <w:lang w:val="fr-FR"/>
        </w:rPr>
        <w:t>qu</w:t>
      </w:r>
      <w:r w:rsidRPr="00FE3F9B" w:rsidR="00FE3F9B">
        <w:rPr>
          <w:lang w:val="fr-FR"/>
        </w:rPr>
        <w:t>’</w:t>
      </w:r>
      <w:r w:rsidRPr="00FE3F9B" w:rsidR="0038120E">
        <w:rPr>
          <w:lang w:val="fr-FR"/>
        </w:rPr>
        <w:t>en cas d</w:t>
      </w:r>
      <w:r w:rsidRPr="00FE3F9B" w:rsidR="00FE3F9B">
        <w:rPr>
          <w:lang w:val="fr-FR"/>
        </w:rPr>
        <w:t>’</w:t>
      </w:r>
      <w:r w:rsidRPr="00FE3F9B" w:rsidR="0038120E">
        <w:rPr>
          <w:lang w:val="fr-FR"/>
        </w:rPr>
        <w:t>établissement d</w:t>
      </w:r>
      <w:r w:rsidRPr="00FE3F9B" w:rsidR="00FE3F9B">
        <w:rPr>
          <w:lang w:val="fr-FR"/>
        </w:rPr>
        <w:t>’</w:t>
      </w:r>
      <w:r w:rsidRPr="00FE3F9B" w:rsidR="00B07BA0">
        <w:rPr>
          <w:lang w:val="fr-FR"/>
        </w:rPr>
        <w:t>un</w:t>
      </w:r>
      <w:r w:rsidRPr="00FE3F9B" w:rsidR="0038120E">
        <w:rPr>
          <w:lang w:val="fr-FR"/>
        </w:rPr>
        <w:t xml:space="preserve"> dol de </w:t>
      </w:r>
      <w:r w:rsidRPr="00FE3F9B" w:rsidR="007C1402">
        <w:rPr>
          <w:lang w:val="fr-FR"/>
        </w:rPr>
        <w:t xml:space="preserve">la part de </w:t>
      </w:r>
      <w:r w:rsidRPr="00FE3F9B" w:rsidR="0038120E">
        <w:rPr>
          <w:lang w:val="fr-FR"/>
        </w:rPr>
        <w:t>l</w:t>
      </w:r>
      <w:r w:rsidRPr="00FE3F9B" w:rsidR="00FE3F9B">
        <w:rPr>
          <w:lang w:val="fr-FR"/>
        </w:rPr>
        <w:t>’</w:t>
      </w:r>
      <w:r w:rsidRPr="00FE3F9B" w:rsidR="0038120E">
        <w:rPr>
          <w:lang w:val="fr-FR"/>
        </w:rPr>
        <w:t xml:space="preserve">auteur présumé </w:t>
      </w:r>
      <w:r w:rsidRPr="00FE3F9B" w:rsidR="00B07BA0">
        <w:rPr>
          <w:lang w:val="fr-FR"/>
        </w:rPr>
        <w:t>des faits à l</w:t>
      </w:r>
      <w:r w:rsidRPr="00FE3F9B" w:rsidR="00FE3F9B">
        <w:rPr>
          <w:lang w:val="fr-FR"/>
        </w:rPr>
        <w:t>’</w:t>
      </w:r>
      <w:r w:rsidRPr="00FE3F9B" w:rsidR="00B07BA0">
        <w:rPr>
          <w:lang w:val="fr-FR"/>
        </w:rPr>
        <w:t xml:space="preserve">origine </w:t>
      </w:r>
      <w:r w:rsidRPr="00FE3F9B" w:rsidR="0038120E">
        <w:rPr>
          <w:lang w:val="fr-FR"/>
        </w:rPr>
        <w:t>du préjudice</w:t>
      </w:r>
      <w:r w:rsidRPr="00FE3F9B" w:rsidR="00B07BA0">
        <w:rPr>
          <w:lang w:val="fr-FR"/>
        </w:rPr>
        <w:t>,</w:t>
      </w:r>
      <w:r w:rsidRPr="00FE3F9B" w:rsidR="0038120E">
        <w:rPr>
          <w:lang w:val="fr-FR"/>
        </w:rPr>
        <w:t xml:space="preserve"> ce qui serait </w:t>
      </w:r>
      <w:r w:rsidRPr="00FE3F9B" w:rsidR="00B07BA0">
        <w:rPr>
          <w:lang w:val="fr-FR"/>
        </w:rPr>
        <w:t>en l</w:t>
      </w:r>
      <w:r w:rsidRPr="00FE3F9B" w:rsidR="00FE3F9B">
        <w:rPr>
          <w:lang w:val="fr-FR"/>
        </w:rPr>
        <w:t>’</w:t>
      </w:r>
      <w:r w:rsidRPr="00FE3F9B" w:rsidR="00B07BA0">
        <w:rPr>
          <w:lang w:val="fr-FR"/>
        </w:rPr>
        <w:t xml:space="preserve">espèce </w:t>
      </w:r>
      <w:r w:rsidRPr="00FE3F9B" w:rsidR="0038120E">
        <w:rPr>
          <w:lang w:val="fr-FR"/>
        </w:rPr>
        <w:t xml:space="preserve">impossible </w:t>
      </w:r>
      <w:r w:rsidRPr="00FE3F9B" w:rsidR="00B07BA0">
        <w:rPr>
          <w:lang w:val="fr-FR"/>
        </w:rPr>
        <w:t>eu égard au</w:t>
      </w:r>
      <w:r w:rsidRPr="00FE3F9B" w:rsidR="0038120E">
        <w:rPr>
          <w:lang w:val="fr-FR"/>
        </w:rPr>
        <w:t xml:space="preserve"> refus </w:t>
      </w:r>
      <w:r w:rsidRPr="00FE3F9B" w:rsidR="00721CEC">
        <w:rPr>
          <w:lang w:val="fr-FR"/>
        </w:rPr>
        <w:t>des autorités chargée</w:t>
      </w:r>
      <w:r w:rsidRPr="00FE3F9B" w:rsidR="00B07BA0">
        <w:rPr>
          <w:lang w:val="fr-FR"/>
        </w:rPr>
        <w:t>s</w:t>
      </w:r>
      <w:r w:rsidRPr="00FE3F9B" w:rsidR="00721CEC">
        <w:rPr>
          <w:lang w:val="fr-FR"/>
        </w:rPr>
        <w:t xml:space="preserve"> de l</w:t>
      </w:r>
      <w:r w:rsidRPr="00FE3F9B" w:rsidR="00FE3F9B">
        <w:rPr>
          <w:lang w:val="fr-FR"/>
        </w:rPr>
        <w:t>’</w:t>
      </w:r>
      <w:r w:rsidRPr="00FE3F9B" w:rsidR="00721CEC">
        <w:rPr>
          <w:lang w:val="fr-FR"/>
        </w:rPr>
        <w:t xml:space="preserve">instruction </w:t>
      </w:r>
      <w:r w:rsidRPr="00FE3F9B" w:rsidR="0038120E">
        <w:rPr>
          <w:lang w:val="fr-FR"/>
        </w:rPr>
        <w:t>d</w:t>
      </w:r>
      <w:r w:rsidRPr="00FE3F9B" w:rsidR="00FE3F9B">
        <w:rPr>
          <w:lang w:val="fr-FR"/>
        </w:rPr>
        <w:t>’</w:t>
      </w:r>
      <w:r w:rsidRPr="00FE3F9B" w:rsidR="0038120E">
        <w:rPr>
          <w:lang w:val="fr-FR"/>
        </w:rPr>
        <w:t xml:space="preserve">ouvrir une enquête pénale </w:t>
      </w:r>
      <w:r w:rsidRPr="00FE3F9B" w:rsidR="00721CEC">
        <w:rPr>
          <w:lang w:val="fr-FR"/>
        </w:rPr>
        <w:t>sur ses allégations de mauvais traitements.</w:t>
      </w:r>
    </w:p>
    <w:p w:rsidRPr="00FE3F9B" w:rsidR="00454185" w:rsidP="00FE3F9B" w:rsidRDefault="00F96F45">
      <w:pPr>
        <w:pStyle w:val="ECHRHeading2"/>
        <w:rPr>
          <w:lang w:val="fr-FR"/>
        </w:rPr>
      </w:pPr>
      <w:r w:rsidRPr="00FE3F9B">
        <w:rPr>
          <w:lang w:val="fr-FR"/>
        </w:rPr>
        <w:t>B</w:t>
      </w:r>
      <w:r w:rsidRPr="00FE3F9B" w:rsidR="00454185">
        <w:rPr>
          <w:lang w:val="fr-FR"/>
        </w:rPr>
        <w:t>.  Appréciation de la Cour</w:t>
      </w:r>
    </w:p>
    <w:p w:rsidRPr="00FE3F9B" w:rsidR="00454185" w:rsidP="00FE3F9B" w:rsidRDefault="00454185">
      <w:pPr>
        <w:pStyle w:val="ECHRHeading3"/>
        <w:rPr>
          <w:lang w:val="fr-FR"/>
        </w:rPr>
      </w:pPr>
      <w:r w:rsidRPr="00FE3F9B">
        <w:rPr>
          <w:lang w:val="fr-FR"/>
        </w:rPr>
        <w:t>1.  Sur la recevabilité</w:t>
      </w:r>
    </w:p>
    <w:p w:rsidRPr="00FE3F9B" w:rsidR="00454185" w:rsidP="00FE3F9B" w:rsidRDefault="00454185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65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 xml:space="preserve">.  Constatant que </w:t>
      </w:r>
      <w:r w:rsidRPr="00FE3F9B" w:rsidR="002D40C9">
        <w:rPr>
          <w:lang w:val="fr-FR"/>
        </w:rPr>
        <w:t>c</w:t>
      </w:r>
      <w:r w:rsidRPr="00FE3F9B">
        <w:rPr>
          <w:lang w:val="fr-FR"/>
        </w:rPr>
        <w:t xml:space="preserve">e </w:t>
      </w:r>
      <w:r w:rsidRPr="00FE3F9B" w:rsidR="002D40C9">
        <w:rPr>
          <w:lang w:val="fr-FR"/>
        </w:rPr>
        <w:t>grief</w:t>
      </w:r>
      <w:r w:rsidRPr="00FE3F9B">
        <w:rPr>
          <w:lang w:val="fr-FR"/>
        </w:rPr>
        <w:t xml:space="preserve"> n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est pas manifestement mal fondé au sens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article 35 § 3 a) de la Convention et qu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il ne se heurte par ailleurs à aucun autre motif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irrecevabilité, la Cour le déclare recevable.</w:t>
      </w:r>
    </w:p>
    <w:p w:rsidRPr="00FE3F9B" w:rsidR="00454185" w:rsidP="00FE3F9B" w:rsidRDefault="00454185">
      <w:pPr>
        <w:pStyle w:val="ECHRHeading3"/>
        <w:rPr>
          <w:lang w:val="fr-FR"/>
        </w:rPr>
      </w:pPr>
      <w:r w:rsidRPr="00FE3F9B">
        <w:rPr>
          <w:lang w:val="fr-FR"/>
        </w:rPr>
        <w:t>2.  Sur le fond</w:t>
      </w:r>
    </w:p>
    <w:p w:rsidRPr="00FE3F9B" w:rsidR="00940850" w:rsidP="00FE3F9B" w:rsidRDefault="007552DB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66</w:t>
      </w:r>
      <w:r w:rsidRPr="00FE3F9B">
        <w:rPr>
          <w:lang w:val="fr-FR"/>
        </w:rPr>
        <w:fldChar w:fldCharType="end"/>
      </w:r>
      <w:r w:rsidRPr="00FE3F9B">
        <w:rPr>
          <w:lang w:val="fr-FR"/>
        </w:rPr>
        <w:t>.  </w:t>
      </w:r>
      <w:r w:rsidRPr="00FE3F9B" w:rsidR="00C92DB2">
        <w:rPr>
          <w:lang w:val="fr-FR"/>
        </w:rPr>
        <w:t>Ayant conclu à la violation de l</w:t>
      </w:r>
      <w:r w:rsidRPr="00FE3F9B" w:rsidR="00FE3F9B">
        <w:rPr>
          <w:lang w:val="fr-FR"/>
        </w:rPr>
        <w:t>’</w:t>
      </w:r>
      <w:r w:rsidRPr="00FE3F9B" w:rsidR="00C92DB2">
        <w:rPr>
          <w:lang w:val="fr-FR"/>
        </w:rPr>
        <w:t xml:space="preserve">article 3 de la Convention </w:t>
      </w:r>
      <w:r w:rsidRPr="00FE3F9B" w:rsidR="002D40C9">
        <w:rPr>
          <w:lang w:val="fr-FR"/>
        </w:rPr>
        <w:t>sous</w:t>
      </w:r>
      <w:r w:rsidRPr="00FE3F9B" w:rsidR="00C92DB2">
        <w:rPr>
          <w:lang w:val="fr-FR"/>
        </w:rPr>
        <w:t xml:space="preserve"> ses volets procédural </w:t>
      </w:r>
      <w:r w:rsidRPr="00FE3F9B" w:rsidR="002D40C9">
        <w:rPr>
          <w:lang w:val="fr-FR"/>
        </w:rPr>
        <w:t xml:space="preserve">et matériel </w:t>
      </w:r>
      <w:r w:rsidRPr="00FE3F9B" w:rsidR="00C92DB2">
        <w:rPr>
          <w:lang w:val="fr-FR"/>
        </w:rPr>
        <w:t xml:space="preserve">(paragraphes </w:t>
      </w:r>
      <w:r w:rsidRPr="00FE3F9B" w:rsidR="002D40C9">
        <w:rPr>
          <w:lang w:val="fr-FR"/>
        </w:rPr>
        <w:fldChar w:fldCharType="begin"/>
      </w:r>
      <w:r w:rsidRPr="00FE3F9B" w:rsidR="002D40C9">
        <w:rPr>
          <w:lang w:val="fr-FR"/>
        </w:rPr>
        <w:instrText xml:space="preserve"> REF viol3 \h </w:instrText>
      </w:r>
      <w:r w:rsidRPr="00FE3F9B" w:rsidR="002D40C9">
        <w:rPr>
          <w:lang w:val="fr-FR"/>
        </w:rPr>
      </w:r>
      <w:r w:rsidRPr="00FE3F9B" w:rsidR="002D40C9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47</w:t>
      </w:r>
      <w:r w:rsidRPr="00FE3F9B" w:rsidR="002D40C9">
        <w:rPr>
          <w:lang w:val="fr-FR"/>
        </w:rPr>
        <w:fldChar w:fldCharType="end"/>
      </w:r>
      <w:r w:rsidRPr="00FE3F9B" w:rsidR="002D40C9">
        <w:rPr>
          <w:lang w:val="fr-FR"/>
        </w:rPr>
        <w:t xml:space="preserve"> et </w:t>
      </w:r>
      <w:r w:rsidRPr="00FE3F9B" w:rsidR="002D40C9">
        <w:rPr>
          <w:lang w:val="fr-FR"/>
        </w:rPr>
        <w:fldChar w:fldCharType="begin"/>
      </w:r>
      <w:r w:rsidRPr="00FE3F9B" w:rsidR="002D40C9">
        <w:rPr>
          <w:lang w:val="fr-FR"/>
        </w:rPr>
        <w:instrText xml:space="preserve"> REF viol3m \h </w:instrText>
      </w:r>
      <w:r w:rsidRPr="00FE3F9B" w:rsidR="002D40C9">
        <w:rPr>
          <w:lang w:val="fr-FR"/>
        </w:rPr>
      </w:r>
      <w:r w:rsidRPr="00FE3F9B" w:rsidR="002D40C9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61</w:t>
      </w:r>
      <w:r w:rsidRPr="00FE3F9B" w:rsidR="002D40C9">
        <w:rPr>
          <w:lang w:val="fr-FR"/>
        </w:rPr>
        <w:fldChar w:fldCharType="end"/>
      </w:r>
      <w:r w:rsidRPr="00FE3F9B" w:rsidR="002D40C9">
        <w:rPr>
          <w:lang w:val="fr-FR"/>
        </w:rPr>
        <w:t xml:space="preserve"> </w:t>
      </w:r>
      <w:r w:rsidRPr="00FE3F9B" w:rsidR="00C92DB2">
        <w:rPr>
          <w:lang w:val="fr-FR"/>
        </w:rPr>
        <w:t>ci-dessus), la Cour estime qu</w:t>
      </w:r>
      <w:r w:rsidRPr="00FE3F9B" w:rsidR="00FE3F9B">
        <w:rPr>
          <w:lang w:val="fr-FR"/>
        </w:rPr>
        <w:t>’</w:t>
      </w:r>
      <w:r w:rsidRPr="00FE3F9B" w:rsidR="00C92DB2">
        <w:rPr>
          <w:lang w:val="fr-FR"/>
        </w:rPr>
        <w:t xml:space="preserve">aucun examen séparé du grief </w:t>
      </w:r>
      <w:r w:rsidRPr="00FE3F9B">
        <w:rPr>
          <w:lang w:val="fr-FR"/>
        </w:rPr>
        <w:t>quant à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existence de voies de recours effectifs</w:t>
      </w:r>
      <w:r w:rsidRPr="00FE3F9B" w:rsidR="00C92DB2">
        <w:rPr>
          <w:lang w:val="fr-FR"/>
        </w:rPr>
        <w:t xml:space="preserve"> ne s</w:t>
      </w:r>
      <w:r w:rsidRPr="00FE3F9B" w:rsidR="00FE3F9B">
        <w:rPr>
          <w:lang w:val="fr-FR"/>
        </w:rPr>
        <w:t>’</w:t>
      </w:r>
      <w:r w:rsidRPr="00FE3F9B" w:rsidR="00C92DB2">
        <w:rPr>
          <w:lang w:val="fr-FR"/>
        </w:rPr>
        <w:t>impose sur le terrain de l</w:t>
      </w:r>
      <w:r w:rsidRPr="00FE3F9B" w:rsidR="00FE3F9B">
        <w:rPr>
          <w:lang w:val="fr-FR"/>
        </w:rPr>
        <w:t>’</w:t>
      </w:r>
      <w:r w:rsidRPr="00FE3F9B" w:rsidR="00C92DB2">
        <w:rPr>
          <w:lang w:val="fr-FR"/>
        </w:rPr>
        <w:t>article 13</w:t>
      </w:r>
      <w:r w:rsidRPr="00FE3F9B" w:rsidR="00033D06">
        <w:rPr>
          <w:lang w:val="fr-FR"/>
        </w:rPr>
        <w:t xml:space="preserve"> de la Convention </w:t>
      </w:r>
      <w:r w:rsidRPr="00FE3F9B" w:rsidR="00C92DB2">
        <w:rPr>
          <w:lang w:val="fr-FR"/>
        </w:rPr>
        <w:t>(</w:t>
      </w:r>
      <w:r w:rsidRPr="00FE3F9B">
        <w:rPr>
          <w:i/>
          <w:iCs/>
          <w:lang w:val="fr-FR"/>
        </w:rPr>
        <w:t>Ovakimyan c. Russie</w:t>
      </w:r>
      <w:r w:rsidRPr="00FE3F9B">
        <w:rPr>
          <w:lang w:val="fr-FR"/>
        </w:rPr>
        <w:t>, n</w:t>
      </w:r>
      <w:r w:rsidRPr="00FE3F9B">
        <w:rPr>
          <w:vertAlign w:val="superscript"/>
          <w:lang w:val="fr-FR"/>
        </w:rPr>
        <w:t>o</w:t>
      </w:r>
      <w:r w:rsidRPr="00FE3F9B">
        <w:rPr>
          <w:lang w:val="fr-FR"/>
        </w:rPr>
        <w:t xml:space="preserve"> 52796/08, § 68, 21 février 2017, </w:t>
      </w:r>
      <w:r w:rsidRPr="00FE3F9B">
        <w:rPr>
          <w:i/>
          <w:iCs/>
          <w:lang w:val="fr-FR"/>
        </w:rPr>
        <w:t>Aleksandr Andreyev</w:t>
      </w:r>
      <w:r w:rsidRPr="00FE3F9B">
        <w:rPr>
          <w:lang w:val="fr-FR"/>
        </w:rPr>
        <w:t xml:space="preserve"> </w:t>
      </w:r>
      <w:r w:rsidRPr="00FE3F9B">
        <w:rPr>
          <w:i/>
          <w:iCs/>
          <w:lang w:val="fr-FR"/>
        </w:rPr>
        <w:t>c. Russie</w:t>
      </w:r>
      <w:r w:rsidRPr="00FE3F9B">
        <w:rPr>
          <w:lang w:val="fr-FR"/>
        </w:rPr>
        <w:t>, n</w:t>
      </w:r>
      <w:r w:rsidRPr="00FE3F9B">
        <w:rPr>
          <w:vertAlign w:val="superscript"/>
          <w:lang w:val="fr-FR"/>
        </w:rPr>
        <w:t>o</w:t>
      </w:r>
      <w:r w:rsidRPr="00FE3F9B">
        <w:rPr>
          <w:lang w:val="fr-FR"/>
        </w:rPr>
        <w:t xml:space="preserve"> 2281/06, § 71, 23 février 2016</w:t>
      </w:r>
      <w:r w:rsidRPr="00FE3F9B" w:rsidR="00C92DB2">
        <w:rPr>
          <w:lang w:val="fr-FR"/>
        </w:rPr>
        <w:t>).</w:t>
      </w:r>
    </w:p>
    <w:p w:rsidRPr="00FE3F9B" w:rsidR="00E77CB3" w:rsidP="00FE3F9B" w:rsidRDefault="00F65EAC">
      <w:pPr>
        <w:pStyle w:val="ECHRHeading1"/>
        <w:rPr>
          <w:lang w:val="fr-FR"/>
        </w:rPr>
      </w:pPr>
      <w:r w:rsidRPr="00FE3F9B">
        <w:rPr>
          <w:lang w:val="fr-FR"/>
        </w:rPr>
        <w:t>III</w:t>
      </w:r>
      <w:r w:rsidRPr="00FE3F9B" w:rsidR="00E77CB3">
        <w:rPr>
          <w:lang w:val="fr-FR"/>
        </w:rPr>
        <w:t>.  SUR L</w:t>
      </w:r>
      <w:r w:rsidRPr="00FE3F9B" w:rsidR="00FE3F9B">
        <w:rPr>
          <w:lang w:val="fr-FR"/>
        </w:rPr>
        <w:t>’</w:t>
      </w:r>
      <w:r w:rsidRPr="00FE3F9B" w:rsidR="00E77CB3">
        <w:rPr>
          <w:lang w:val="fr-FR"/>
        </w:rPr>
        <w:t>APPLICATION DE L</w:t>
      </w:r>
      <w:r w:rsidRPr="00FE3F9B" w:rsidR="00FE3F9B">
        <w:rPr>
          <w:lang w:val="fr-FR"/>
        </w:rPr>
        <w:t>’</w:t>
      </w:r>
      <w:r w:rsidRPr="00FE3F9B" w:rsidR="00E77CB3">
        <w:rPr>
          <w:lang w:val="fr-FR"/>
        </w:rPr>
        <w:t>ARTICLE 41 DE LA CONVENTION</w:t>
      </w:r>
    </w:p>
    <w:p w:rsidRPr="00FE3F9B" w:rsidR="00E77CB3" w:rsidP="00FE3F9B" w:rsidRDefault="00584D9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67</w:t>
      </w:r>
      <w:r w:rsidRPr="00FE3F9B">
        <w:rPr>
          <w:lang w:val="fr-FR"/>
        </w:rPr>
        <w:fldChar w:fldCharType="end"/>
      </w:r>
      <w:r w:rsidRPr="00FE3F9B" w:rsidR="00E77CB3">
        <w:rPr>
          <w:lang w:val="fr-FR"/>
        </w:rPr>
        <w:t>.  Aux termes de l</w:t>
      </w:r>
      <w:r w:rsidRPr="00FE3F9B" w:rsidR="00FE3F9B">
        <w:rPr>
          <w:lang w:val="fr-FR"/>
        </w:rPr>
        <w:t>’</w:t>
      </w:r>
      <w:r w:rsidRPr="00FE3F9B" w:rsidR="00E77CB3">
        <w:rPr>
          <w:lang w:val="fr-FR"/>
        </w:rPr>
        <w:t>article 41 de la Convention,</w:t>
      </w:r>
    </w:p>
    <w:p w:rsidRPr="00FE3F9B" w:rsidR="00E77CB3" w:rsidP="00FE3F9B" w:rsidRDefault="00E77CB3">
      <w:pPr>
        <w:pStyle w:val="ECHRParaQuote"/>
        <w:keepNext/>
        <w:keepLines/>
        <w:rPr>
          <w:lang w:val="fr-FR"/>
        </w:rPr>
      </w:pPr>
      <w:r w:rsidRPr="00FE3F9B">
        <w:rPr>
          <w:lang w:val="fr-FR"/>
        </w:rPr>
        <w:t>« Si la Cour déclare qu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il y a eu violation de la Convention ou de ses Protocoles, et si le droit interne de la Haute Partie contractante ne permet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effacer qu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imparfaitement les conséquences de cette violation, la Cour accorde à la partie lésée, s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il y a lieu, une satisfaction équitable. »</w:t>
      </w:r>
    </w:p>
    <w:p w:rsidRPr="00FE3F9B" w:rsidR="00E77CB3" w:rsidP="00FE3F9B" w:rsidRDefault="00E77CB3">
      <w:pPr>
        <w:pStyle w:val="ECHRHeading2"/>
        <w:rPr>
          <w:lang w:val="fr-FR"/>
        </w:rPr>
      </w:pPr>
      <w:r w:rsidRPr="00FE3F9B">
        <w:rPr>
          <w:lang w:val="fr-FR"/>
        </w:rPr>
        <w:t>A.  Dommage</w:t>
      </w:r>
    </w:p>
    <w:p w:rsidRPr="00FE3F9B" w:rsidR="00E77CB3" w:rsidP="00FE3F9B" w:rsidRDefault="00584D9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68</w:t>
      </w:r>
      <w:r w:rsidRPr="00FE3F9B">
        <w:rPr>
          <w:lang w:val="fr-FR"/>
        </w:rPr>
        <w:fldChar w:fldCharType="end"/>
      </w:r>
      <w:r w:rsidRPr="00FE3F9B" w:rsidR="00E77CB3">
        <w:rPr>
          <w:lang w:val="fr-FR"/>
        </w:rPr>
        <w:t>.  </w:t>
      </w:r>
      <w:r w:rsidRPr="00FE3F9B" w:rsidR="00BF6DC2">
        <w:rPr>
          <w:lang w:val="fr-FR"/>
        </w:rPr>
        <w:t>La requérante</w:t>
      </w:r>
      <w:r w:rsidRPr="00FE3F9B" w:rsidR="00E77CB3">
        <w:rPr>
          <w:lang w:val="fr-FR"/>
        </w:rPr>
        <w:t xml:space="preserve"> réclame </w:t>
      </w:r>
      <w:r w:rsidRPr="00FE3F9B" w:rsidR="00BF6DC2">
        <w:rPr>
          <w:lang w:val="fr-FR"/>
        </w:rPr>
        <w:t>20 000</w:t>
      </w:r>
      <w:r w:rsidRPr="00FE3F9B" w:rsidR="00E77CB3">
        <w:rPr>
          <w:lang w:val="fr-FR"/>
        </w:rPr>
        <w:t xml:space="preserve"> euros (EUR) au titre du préjudice moral qu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elle</w:t>
      </w:r>
      <w:r w:rsidRPr="00FE3F9B" w:rsidR="00E77CB3">
        <w:rPr>
          <w:lang w:val="fr-FR"/>
        </w:rPr>
        <w:t xml:space="preserve"> </w:t>
      </w:r>
      <w:r w:rsidRPr="00FE3F9B" w:rsidR="00434729">
        <w:rPr>
          <w:lang w:val="fr-FR"/>
        </w:rPr>
        <w:t>dit avoir</w:t>
      </w:r>
      <w:r w:rsidRPr="00FE3F9B" w:rsidR="00E77CB3">
        <w:rPr>
          <w:lang w:val="fr-FR"/>
        </w:rPr>
        <w:t xml:space="preserve"> subi.</w:t>
      </w:r>
    </w:p>
    <w:p w:rsidRPr="00FE3F9B" w:rsidR="00953EE7" w:rsidP="00FE3F9B" w:rsidRDefault="00584D9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69</w:t>
      </w:r>
      <w:r w:rsidRPr="00FE3F9B">
        <w:rPr>
          <w:lang w:val="fr-FR"/>
        </w:rPr>
        <w:fldChar w:fldCharType="end"/>
      </w:r>
      <w:r w:rsidRPr="00FE3F9B" w:rsidR="00E77CB3">
        <w:rPr>
          <w:lang w:val="fr-FR"/>
        </w:rPr>
        <w:t xml:space="preserve">.  Le Gouvernement </w:t>
      </w:r>
      <w:r w:rsidRPr="00FE3F9B" w:rsidR="00BF6DC2">
        <w:rPr>
          <w:lang w:val="fr-FR"/>
        </w:rPr>
        <w:t>estime qu</w:t>
      </w:r>
      <w:r w:rsidRPr="00FE3F9B" w:rsidR="00752A93">
        <w:rPr>
          <w:lang w:val="fr-FR"/>
        </w:rPr>
        <w:t>e la demande de la requérante est infondée et qu</w:t>
      </w:r>
      <w:r w:rsidRPr="00FE3F9B" w:rsidR="00FE3F9B">
        <w:rPr>
          <w:lang w:val="fr-FR"/>
        </w:rPr>
        <w:t>’</w:t>
      </w:r>
      <w:r w:rsidRPr="00FE3F9B" w:rsidR="00752A93">
        <w:rPr>
          <w:lang w:val="fr-FR"/>
        </w:rPr>
        <w:t>en tout état de cause</w:t>
      </w:r>
      <w:r w:rsidRPr="00FE3F9B" w:rsidR="00BF6DC2">
        <w:rPr>
          <w:lang w:val="fr-FR"/>
        </w:rPr>
        <w:t xml:space="preserve"> </w:t>
      </w:r>
      <w:r w:rsidRPr="00FE3F9B" w:rsidR="00752A93">
        <w:rPr>
          <w:lang w:val="fr-FR"/>
        </w:rPr>
        <w:t>la somme réclamée par elle est excessive.</w:t>
      </w:r>
    </w:p>
    <w:p w:rsidRPr="00FE3F9B" w:rsidR="001E2BA4" w:rsidP="00FE3F9B" w:rsidRDefault="00584D9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70</w:t>
      </w:r>
      <w:r w:rsidRPr="00FE3F9B">
        <w:rPr>
          <w:lang w:val="fr-FR"/>
        </w:rPr>
        <w:fldChar w:fldCharType="end"/>
      </w:r>
      <w:r w:rsidRPr="00FE3F9B" w:rsidR="00E77CB3">
        <w:rPr>
          <w:lang w:val="fr-FR"/>
        </w:rPr>
        <w:t>.  </w:t>
      </w:r>
      <w:r w:rsidRPr="00FE3F9B" w:rsidR="001E2BA4">
        <w:rPr>
          <w:lang w:val="fr-FR"/>
        </w:rPr>
        <w:t>Eu égard aux circonstances de l</w:t>
      </w:r>
      <w:r w:rsidRPr="00FE3F9B" w:rsidR="00FE3F9B">
        <w:rPr>
          <w:lang w:val="fr-FR"/>
        </w:rPr>
        <w:t>’</w:t>
      </w:r>
      <w:r w:rsidRPr="00FE3F9B" w:rsidR="001E2BA4">
        <w:rPr>
          <w:lang w:val="fr-FR"/>
        </w:rPr>
        <w:t>espèce et au constat de violation de l</w:t>
      </w:r>
      <w:r w:rsidRPr="00FE3F9B" w:rsidR="00FE3F9B">
        <w:rPr>
          <w:lang w:val="fr-FR"/>
        </w:rPr>
        <w:t>’</w:t>
      </w:r>
      <w:r w:rsidRPr="00FE3F9B" w:rsidR="001E2BA4">
        <w:rPr>
          <w:lang w:val="fr-FR"/>
        </w:rPr>
        <w:t>article 3 de la Convention auquel elle est parvenue tant sous son volet matériel</w:t>
      </w:r>
      <w:r w:rsidRPr="00FE3F9B" w:rsidR="00163CEA">
        <w:rPr>
          <w:lang w:val="fr-FR"/>
        </w:rPr>
        <w:t xml:space="preserve"> que </w:t>
      </w:r>
      <w:r w:rsidRPr="00FE3F9B" w:rsidR="00434729">
        <w:rPr>
          <w:lang w:val="fr-FR"/>
        </w:rPr>
        <w:t xml:space="preserve">sous son volet </w:t>
      </w:r>
      <w:r w:rsidRPr="00FE3F9B" w:rsidR="00163CEA">
        <w:rPr>
          <w:lang w:val="fr-FR"/>
        </w:rPr>
        <w:t>procédural</w:t>
      </w:r>
      <w:r w:rsidRPr="00FE3F9B" w:rsidR="001E2BA4">
        <w:rPr>
          <w:lang w:val="fr-FR"/>
        </w:rPr>
        <w:t xml:space="preserve">, </w:t>
      </w:r>
      <w:r w:rsidRPr="00FE3F9B" w:rsidR="00A55205">
        <w:rPr>
          <w:lang w:val="fr-FR"/>
        </w:rPr>
        <w:t>la Cour</w:t>
      </w:r>
      <w:r w:rsidRPr="00FE3F9B" w:rsidR="001E2BA4">
        <w:rPr>
          <w:lang w:val="fr-FR"/>
        </w:rPr>
        <w:t xml:space="preserve"> estime qu</w:t>
      </w:r>
      <w:r w:rsidRPr="00FE3F9B" w:rsidR="00FE3F9B">
        <w:rPr>
          <w:lang w:val="fr-FR"/>
        </w:rPr>
        <w:t>’</w:t>
      </w:r>
      <w:r w:rsidRPr="00FE3F9B" w:rsidR="001E2BA4">
        <w:rPr>
          <w:lang w:val="fr-FR"/>
        </w:rPr>
        <w:t xml:space="preserve">il y a lieu </w:t>
      </w:r>
      <w:r w:rsidRPr="00FE3F9B" w:rsidR="00A55205">
        <w:rPr>
          <w:lang w:val="fr-FR"/>
        </w:rPr>
        <w:t>d</w:t>
      </w:r>
      <w:r w:rsidRPr="00FE3F9B" w:rsidR="00FE3F9B">
        <w:rPr>
          <w:lang w:val="fr-FR"/>
        </w:rPr>
        <w:t>’</w:t>
      </w:r>
      <w:r w:rsidRPr="00FE3F9B" w:rsidR="00A55205">
        <w:rPr>
          <w:lang w:val="fr-FR"/>
        </w:rPr>
        <w:t>octroyer à la</w:t>
      </w:r>
      <w:r w:rsidRPr="00FE3F9B" w:rsidR="001E2BA4">
        <w:rPr>
          <w:lang w:val="fr-FR"/>
        </w:rPr>
        <w:t xml:space="preserve"> requérant</w:t>
      </w:r>
      <w:r w:rsidRPr="00FE3F9B" w:rsidR="00A55205">
        <w:rPr>
          <w:lang w:val="fr-FR"/>
        </w:rPr>
        <w:t>e</w:t>
      </w:r>
      <w:r w:rsidRPr="00FE3F9B" w:rsidR="001E2BA4">
        <w:rPr>
          <w:lang w:val="fr-FR"/>
        </w:rPr>
        <w:t xml:space="preserve"> </w:t>
      </w:r>
      <w:r w:rsidRPr="00FE3F9B" w:rsidR="00A55205">
        <w:rPr>
          <w:lang w:val="fr-FR"/>
        </w:rPr>
        <w:t>19</w:t>
      </w:r>
      <w:r w:rsidRPr="00FE3F9B" w:rsidR="001E2BA4">
        <w:rPr>
          <w:lang w:val="fr-FR"/>
        </w:rPr>
        <w:t> 500 EUR au titre du préjudice moral.</w:t>
      </w:r>
    </w:p>
    <w:p w:rsidRPr="00FE3F9B" w:rsidR="00E77CB3" w:rsidP="00FE3F9B" w:rsidRDefault="00E77CB3">
      <w:pPr>
        <w:pStyle w:val="ECHRHeading2"/>
        <w:rPr>
          <w:lang w:val="fr-FR"/>
        </w:rPr>
      </w:pPr>
      <w:r w:rsidRPr="00FE3F9B">
        <w:rPr>
          <w:lang w:val="fr-FR"/>
        </w:rPr>
        <w:t>B.  Frais et dépens</w:t>
      </w:r>
    </w:p>
    <w:p w:rsidRPr="00FE3F9B" w:rsidR="00E77CB3" w:rsidP="00FE3F9B" w:rsidRDefault="00584D9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71</w:t>
      </w:r>
      <w:r w:rsidRPr="00FE3F9B">
        <w:rPr>
          <w:lang w:val="fr-FR"/>
        </w:rPr>
        <w:fldChar w:fldCharType="end"/>
      </w:r>
      <w:r w:rsidRPr="00FE3F9B" w:rsidR="00E77CB3">
        <w:rPr>
          <w:lang w:val="fr-FR"/>
        </w:rPr>
        <w:t>.  </w:t>
      </w:r>
      <w:r w:rsidRPr="00FE3F9B">
        <w:rPr>
          <w:lang w:val="fr-FR"/>
        </w:rPr>
        <w:t>La requérante</w:t>
      </w:r>
      <w:r w:rsidRPr="00FE3F9B" w:rsidR="00E77CB3">
        <w:rPr>
          <w:lang w:val="fr-FR"/>
        </w:rPr>
        <w:t xml:space="preserve"> </w:t>
      </w:r>
      <w:r w:rsidRPr="00FE3F9B" w:rsidR="00163CEA">
        <w:rPr>
          <w:lang w:val="fr-FR"/>
        </w:rPr>
        <w:t>n</w:t>
      </w:r>
      <w:r w:rsidRPr="00FE3F9B" w:rsidR="00FE3F9B">
        <w:rPr>
          <w:lang w:val="fr-FR"/>
        </w:rPr>
        <w:t>’</w:t>
      </w:r>
      <w:r w:rsidRPr="00FE3F9B" w:rsidR="00163CEA">
        <w:rPr>
          <w:lang w:val="fr-FR"/>
        </w:rPr>
        <w:t>a pas présenté de demande de remboursement des frais et dépens.</w:t>
      </w:r>
    </w:p>
    <w:p w:rsidRPr="00FE3F9B" w:rsidR="00E77CB3" w:rsidP="00FE3F9B" w:rsidRDefault="00E77CB3">
      <w:pPr>
        <w:pStyle w:val="ECHRHeading2"/>
        <w:rPr>
          <w:lang w:val="fr-FR"/>
        </w:rPr>
      </w:pPr>
      <w:r w:rsidRPr="00FE3F9B">
        <w:rPr>
          <w:lang w:val="fr-FR"/>
        </w:rPr>
        <w:t>C.  Intérêts moratoires</w:t>
      </w:r>
    </w:p>
    <w:p w:rsidRPr="00FE3F9B" w:rsidR="00E77CB3" w:rsidP="00FE3F9B" w:rsidRDefault="00584D97">
      <w:pPr>
        <w:pStyle w:val="ECHRPara"/>
        <w:rPr>
          <w:lang w:val="fr-FR"/>
        </w:rPr>
      </w:pPr>
      <w:r w:rsidRPr="00FE3F9B">
        <w:rPr>
          <w:lang w:val="fr-FR"/>
        </w:rPr>
        <w:fldChar w:fldCharType="begin"/>
      </w:r>
      <w:r w:rsidRPr="00FE3F9B">
        <w:rPr>
          <w:lang w:val="fr-FR"/>
        </w:rPr>
        <w:instrText xml:space="preserve"> SEQ level0 \*arabic </w:instrText>
      </w:r>
      <w:r w:rsidRPr="00FE3F9B">
        <w:rPr>
          <w:lang w:val="fr-FR"/>
        </w:rPr>
        <w:fldChar w:fldCharType="separate"/>
      </w:r>
      <w:r w:rsidRPr="00FE3F9B" w:rsidR="00FE3F9B">
        <w:rPr>
          <w:noProof/>
          <w:lang w:val="fr-FR"/>
        </w:rPr>
        <w:t>72</w:t>
      </w:r>
      <w:r w:rsidRPr="00FE3F9B">
        <w:rPr>
          <w:lang w:val="fr-FR"/>
        </w:rPr>
        <w:fldChar w:fldCharType="end"/>
      </w:r>
      <w:r w:rsidRPr="00FE3F9B" w:rsidR="00E77CB3">
        <w:rPr>
          <w:lang w:val="fr-FR"/>
        </w:rPr>
        <w:t>.  La Cour juge approprié de calquer le taux des intérêts moratoires sur le taux d</w:t>
      </w:r>
      <w:r w:rsidRPr="00FE3F9B" w:rsidR="00FE3F9B">
        <w:rPr>
          <w:lang w:val="fr-FR"/>
        </w:rPr>
        <w:t>’</w:t>
      </w:r>
      <w:r w:rsidRPr="00FE3F9B" w:rsidR="00E77CB3">
        <w:rPr>
          <w:lang w:val="fr-FR"/>
        </w:rPr>
        <w:t>intérêt de la facilité de prêt marginal de la Banque centrale européenne majoré de trois points de pourcentage.</w:t>
      </w:r>
    </w:p>
    <w:p w:rsidRPr="00FE3F9B" w:rsidR="00E77CB3" w:rsidP="00FE3F9B" w:rsidRDefault="00E77CB3">
      <w:pPr>
        <w:pStyle w:val="ECHRTitle1"/>
        <w:rPr>
          <w:lang w:val="fr-FR"/>
        </w:rPr>
      </w:pPr>
      <w:r w:rsidRPr="00FE3F9B">
        <w:rPr>
          <w:lang w:val="fr-FR"/>
        </w:rPr>
        <w:t>PAR CES MOTIFS, LA COUR</w:t>
      </w:r>
      <w:r w:rsidRPr="00FE3F9B" w:rsidR="00584D97">
        <w:rPr>
          <w:lang w:val="fr-FR"/>
        </w:rPr>
        <w:t>, À L</w:t>
      </w:r>
      <w:r w:rsidRPr="00FE3F9B" w:rsidR="00FE3F9B">
        <w:rPr>
          <w:lang w:val="fr-FR"/>
        </w:rPr>
        <w:t>’</w:t>
      </w:r>
      <w:r w:rsidRPr="00FE3F9B" w:rsidR="00584D97">
        <w:rPr>
          <w:lang w:val="fr-FR"/>
        </w:rPr>
        <w:t>UNANIMITÉ,</w:t>
      </w:r>
    </w:p>
    <w:p w:rsidRPr="00FE3F9B" w:rsidR="00971CCE" w:rsidP="00FE3F9B" w:rsidRDefault="00971CCE">
      <w:pPr>
        <w:pStyle w:val="JuList"/>
        <w:rPr>
          <w:lang w:val="fr-FR"/>
        </w:rPr>
      </w:pPr>
      <w:r w:rsidRPr="00FE3F9B">
        <w:rPr>
          <w:lang w:val="fr-FR"/>
        </w:rPr>
        <w:t>1.  </w:t>
      </w:r>
      <w:r w:rsidRPr="00FE3F9B">
        <w:rPr>
          <w:i/>
          <w:lang w:val="fr-FR"/>
        </w:rPr>
        <w:t>Déclare</w:t>
      </w:r>
      <w:r w:rsidRPr="00FE3F9B">
        <w:rPr>
          <w:lang w:val="fr-FR"/>
        </w:rPr>
        <w:t xml:space="preserve"> la requête recevable ;</w:t>
      </w:r>
    </w:p>
    <w:p w:rsidRPr="00FE3F9B" w:rsidR="00971CCE" w:rsidP="00FE3F9B" w:rsidRDefault="00971CCE">
      <w:pPr>
        <w:pStyle w:val="JuList"/>
        <w:rPr>
          <w:lang w:val="fr-FR"/>
        </w:rPr>
      </w:pPr>
    </w:p>
    <w:p w:rsidRPr="00FE3F9B" w:rsidR="00971CCE" w:rsidP="00FE3F9B" w:rsidRDefault="00971CCE">
      <w:pPr>
        <w:pStyle w:val="JuList"/>
        <w:rPr>
          <w:lang w:val="fr-FR"/>
        </w:rPr>
      </w:pPr>
      <w:r w:rsidRPr="00FE3F9B">
        <w:rPr>
          <w:lang w:val="fr-FR"/>
        </w:rPr>
        <w:t>2.  </w:t>
      </w:r>
      <w:r w:rsidRPr="00FE3F9B">
        <w:rPr>
          <w:i/>
          <w:lang w:val="fr-FR"/>
        </w:rPr>
        <w:t>Dit</w:t>
      </w:r>
      <w:r w:rsidRPr="00FE3F9B">
        <w:rPr>
          <w:lang w:val="fr-FR"/>
        </w:rPr>
        <w:t xml:space="preserve"> qu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il y a eu violation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article 3 de la Convention sous son volet procédural ;</w:t>
      </w:r>
    </w:p>
    <w:p w:rsidRPr="00FE3F9B" w:rsidR="00971CCE" w:rsidP="00FE3F9B" w:rsidRDefault="00971CCE">
      <w:pPr>
        <w:pStyle w:val="JuList"/>
        <w:rPr>
          <w:lang w:val="fr-FR"/>
        </w:rPr>
      </w:pPr>
    </w:p>
    <w:p w:rsidRPr="00FE3F9B" w:rsidR="00971CCE" w:rsidP="00FE3F9B" w:rsidRDefault="00971CCE">
      <w:pPr>
        <w:pStyle w:val="JuList"/>
        <w:rPr>
          <w:lang w:val="fr-FR"/>
        </w:rPr>
      </w:pPr>
      <w:r w:rsidRPr="00FE3F9B">
        <w:rPr>
          <w:lang w:val="fr-FR"/>
        </w:rPr>
        <w:t>3.  </w:t>
      </w:r>
      <w:r w:rsidRPr="00FE3F9B">
        <w:rPr>
          <w:i/>
          <w:lang w:val="fr-FR"/>
        </w:rPr>
        <w:t>Dit</w:t>
      </w:r>
      <w:r w:rsidRPr="00FE3F9B">
        <w:rPr>
          <w:lang w:val="fr-FR"/>
        </w:rPr>
        <w:t xml:space="preserve"> qu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il y a eu violation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article 3 sous son volet matériel ;</w:t>
      </w:r>
    </w:p>
    <w:p w:rsidRPr="00FE3F9B" w:rsidR="00971CCE" w:rsidP="00FE3F9B" w:rsidRDefault="00971CCE">
      <w:pPr>
        <w:pStyle w:val="JuList"/>
        <w:rPr>
          <w:lang w:val="fr-FR"/>
        </w:rPr>
      </w:pPr>
    </w:p>
    <w:p w:rsidRPr="00FE3F9B" w:rsidR="00971CCE" w:rsidP="00FE3F9B" w:rsidRDefault="00971CCE">
      <w:pPr>
        <w:pStyle w:val="JuList"/>
        <w:rPr>
          <w:lang w:val="fr-FR"/>
        </w:rPr>
      </w:pPr>
      <w:r w:rsidRPr="00FE3F9B">
        <w:rPr>
          <w:lang w:val="fr-FR"/>
        </w:rPr>
        <w:t>4.  </w:t>
      </w:r>
      <w:r w:rsidRPr="00FE3F9B">
        <w:rPr>
          <w:i/>
          <w:lang w:val="fr-FR"/>
        </w:rPr>
        <w:t>Dit</w:t>
      </w:r>
      <w:r w:rsidRPr="00FE3F9B">
        <w:rPr>
          <w:lang w:val="fr-FR"/>
        </w:rPr>
        <w:t xml:space="preserve"> qu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il n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y a pas lieu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examiner séparément le grief tiré de l</w:t>
      </w:r>
      <w:r w:rsidRPr="00FE3F9B" w:rsidR="00FE3F9B">
        <w:rPr>
          <w:lang w:val="fr-FR"/>
        </w:rPr>
        <w:t>’</w:t>
      </w:r>
      <w:r w:rsidRPr="00FE3F9B" w:rsidR="002C6F15">
        <w:rPr>
          <w:lang w:val="fr-FR"/>
        </w:rPr>
        <w:t xml:space="preserve">article 13 </w:t>
      </w:r>
      <w:r w:rsidRPr="00FE3F9B">
        <w:rPr>
          <w:lang w:val="fr-FR"/>
        </w:rPr>
        <w:t>de la Convention ;</w:t>
      </w:r>
    </w:p>
    <w:p w:rsidRPr="00FE3F9B" w:rsidR="00971CCE" w:rsidP="00FE3F9B" w:rsidRDefault="00971CCE">
      <w:pPr>
        <w:pStyle w:val="JuList"/>
        <w:rPr>
          <w:lang w:val="fr-FR"/>
        </w:rPr>
      </w:pPr>
    </w:p>
    <w:p w:rsidRPr="00FE3F9B" w:rsidR="00953EE7" w:rsidP="00FE3F9B" w:rsidRDefault="00971CCE">
      <w:pPr>
        <w:pStyle w:val="JuList"/>
        <w:rPr>
          <w:lang w:val="fr-FR"/>
        </w:rPr>
      </w:pPr>
      <w:r w:rsidRPr="00FE3F9B">
        <w:rPr>
          <w:lang w:val="fr-FR"/>
        </w:rPr>
        <w:t>5.  </w:t>
      </w:r>
      <w:r w:rsidRPr="00FE3F9B">
        <w:rPr>
          <w:i/>
          <w:lang w:val="fr-FR"/>
        </w:rPr>
        <w:t>Dit</w:t>
      </w:r>
    </w:p>
    <w:p w:rsidRPr="00FE3F9B" w:rsidR="00971CCE" w:rsidP="00FE3F9B" w:rsidRDefault="00971CCE">
      <w:pPr>
        <w:pStyle w:val="JuLista"/>
        <w:rPr>
          <w:lang w:val="fr-FR"/>
        </w:rPr>
      </w:pPr>
      <w:r w:rsidRPr="00FE3F9B">
        <w:rPr>
          <w:lang w:val="fr-FR"/>
        </w:rPr>
        <w:t>a)  que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État défendeur doit verser à la requérante, dans les trois mois à compter du jour où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arrêt sera devenu définitif conformément à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article 44 § 2 de la Convention, 19 500 EUR (dix-neuf mille cinq cents euros), plus tout montant pouvant être dû à titre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impôt, pour dommage moral, à convertir dans la monnaie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État défendeur, au taux applicable à la date du règlement ;</w:t>
      </w:r>
    </w:p>
    <w:p w:rsidRPr="00FE3F9B" w:rsidR="00971CCE" w:rsidP="00FE3F9B" w:rsidRDefault="00971CCE">
      <w:pPr>
        <w:pStyle w:val="JuLista"/>
        <w:rPr>
          <w:lang w:val="fr-FR"/>
        </w:rPr>
      </w:pPr>
      <w:r w:rsidRPr="00FE3F9B">
        <w:rPr>
          <w:lang w:val="fr-FR"/>
        </w:rPr>
        <w:t>b)  qu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à compter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expiration dudit délai et jusqu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au versement, ce montant sera à majorer d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un intérêt simple à un taux égal à celui de la facilité de prêt marginal de la Banque centrale européenne applicable pendant cette période, augmenté de trois points de pourcentage ;</w:t>
      </w:r>
    </w:p>
    <w:p w:rsidRPr="00FE3F9B" w:rsidR="00C04EBB" w:rsidP="00FE3F9B" w:rsidRDefault="00C04EBB">
      <w:pPr>
        <w:pStyle w:val="JuList"/>
        <w:rPr>
          <w:lang w:val="fr-FR"/>
        </w:rPr>
      </w:pPr>
    </w:p>
    <w:p w:rsidRPr="00FE3F9B" w:rsidR="00971CCE" w:rsidP="00FE3F9B" w:rsidRDefault="00971CCE">
      <w:pPr>
        <w:pStyle w:val="JuList"/>
        <w:keepNext/>
        <w:keepLines/>
        <w:rPr>
          <w:lang w:val="fr-FR"/>
        </w:rPr>
      </w:pPr>
      <w:r w:rsidRPr="00FE3F9B">
        <w:rPr>
          <w:lang w:val="fr-FR"/>
        </w:rPr>
        <w:t>6.  </w:t>
      </w:r>
      <w:r w:rsidRPr="00FE3F9B">
        <w:rPr>
          <w:i/>
          <w:lang w:val="fr-FR"/>
        </w:rPr>
        <w:t>Rejette</w:t>
      </w:r>
      <w:r w:rsidRPr="00FE3F9B">
        <w:rPr>
          <w:lang w:val="fr-FR"/>
        </w:rPr>
        <w:t xml:space="preserve"> la demande de satisfaction équitable pour le surplus.</w:t>
      </w:r>
    </w:p>
    <w:p w:rsidRPr="00FE3F9B" w:rsidR="00E77CB3" w:rsidP="00FE3F9B" w:rsidRDefault="00E77CB3">
      <w:pPr>
        <w:pStyle w:val="JuParaLast"/>
        <w:rPr>
          <w:lang w:val="fr-FR"/>
        </w:rPr>
      </w:pPr>
      <w:r w:rsidRPr="00FE3F9B">
        <w:rPr>
          <w:lang w:val="fr-FR"/>
        </w:rPr>
        <w:t>Fait en français, puis communiqué par écrit le </w:t>
      </w:r>
      <w:r w:rsidRPr="00FE3F9B" w:rsidR="00971CCE">
        <w:rPr>
          <w:lang w:val="fr-FR"/>
        </w:rPr>
        <w:t>3 octobre 2017</w:t>
      </w:r>
      <w:r w:rsidRPr="00FE3F9B">
        <w:rPr>
          <w:lang w:val="fr-FR"/>
        </w:rPr>
        <w:t>, en application de l</w:t>
      </w:r>
      <w:r w:rsidRPr="00FE3F9B" w:rsidR="00FE3F9B">
        <w:rPr>
          <w:lang w:val="fr-FR"/>
        </w:rPr>
        <w:t>’</w:t>
      </w:r>
      <w:r w:rsidRPr="00FE3F9B">
        <w:rPr>
          <w:lang w:val="fr-FR"/>
        </w:rPr>
        <w:t>article 77 §§ 2 et 3 du règlement</w:t>
      </w:r>
      <w:r w:rsidRPr="00FE3F9B" w:rsidR="00AC0824">
        <w:rPr>
          <w:lang w:val="fr-FR"/>
        </w:rPr>
        <w:t xml:space="preserve"> de la Cour</w:t>
      </w:r>
      <w:r w:rsidRPr="00FE3F9B">
        <w:rPr>
          <w:lang w:val="fr-FR"/>
        </w:rPr>
        <w:t>.</w:t>
      </w:r>
    </w:p>
    <w:p w:rsidRPr="00FE3F9B" w:rsidR="004D15F3" w:rsidP="00FE3F9B" w:rsidRDefault="00584D97">
      <w:pPr>
        <w:pStyle w:val="JuSigned"/>
        <w:keepNext/>
        <w:keepLines/>
        <w:rPr>
          <w:lang w:val="fr-FR"/>
        </w:rPr>
      </w:pPr>
      <w:r w:rsidRPr="00FE3F9B">
        <w:rPr>
          <w:lang w:val="fr-FR"/>
        </w:rPr>
        <w:tab/>
      </w:r>
      <w:r w:rsidRPr="00FE3F9B" w:rsidR="00971CCE">
        <w:rPr>
          <w:lang w:val="fr-FR"/>
        </w:rPr>
        <w:t>Fatoş Aracı</w:t>
      </w:r>
      <w:r w:rsidRPr="00FE3F9B" w:rsidR="00E77CB3">
        <w:rPr>
          <w:lang w:val="fr-FR"/>
        </w:rPr>
        <w:tab/>
      </w:r>
      <w:r w:rsidRPr="00FE3F9B" w:rsidR="00FE7B1F">
        <w:rPr>
          <w:szCs w:val="24"/>
          <w:lang w:val="fr-FR"/>
        </w:rPr>
        <w:t>Branko Lubarda</w:t>
      </w:r>
      <w:r w:rsidRPr="00FE3F9B" w:rsidR="00E77CB3">
        <w:rPr>
          <w:lang w:val="fr-FR"/>
        </w:rPr>
        <w:br/>
      </w:r>
      <w:r w:rsidRPr="00FE3F9B" w:rsidR="00E77CB3">
        <w:rPr>
          <w:lang w:val="fr-FR"/>
        </w:rPr>
        <w:tab/>
      </w:r>
      <w:r w:rsidRPr="00FE3F9B" w:rsidR="00971CCE">
        <w:rPr>
          <w:lang w:val="fr-FR"/>
        </w:rPr>
        <w:t>Greffière adjointe</w:t>
      </w:r>
      <w:r w:rsidRPr="00FE3F9B" w:rsidR="00E77CB3">
        <w:rPr>
          <w:lang w:val="fr-FR"/>
        </w:rPr>
        <w:tab/>
      </w:r>
      <w:r w:rsidRPr="00FE3F9B">
        <w:rPr>
          <w:lang w:val="fr-FR"/>
        </w:rPr>
        <w:t>Président</w:t>
      </w:r>
    </w:p>
    <w:sectPr w:rsidRPr="00FE3F9B" w:rsidR="004D15F3" w:rsidSect="001C291A">
      <w:headerReference w:type="even" r:id="rId11"/>
      <w:headerReference w:type="default" r:id="rId12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CD" w:rsidRPr="007C1C7F" w:rsidRDefault="005043CD" w:rsidP="00E77CB3">
      <w:pPr>
        <w:rPr>
          <w:lang w:val="fr-FR"/>
        </w:rPr>
      </w:pPr>
      <w:r w:rsidRPr="007C1C7F">
        <w:rPr>
          <w:lang w:val="fr-FR"/>
        </w:rPr>
        <w:separator/>
      </w:r>
    </w:p>
  </w:endnote>
  <w:endnote w:type="continuationSeparator" w:id="0">
    <w:p w:rsidR="005043CD" w:rsidRPr="007C1C7F" w:rsidRDefault="005043CD" w:rsidP="00E77CB3">
      <w:pPr>
        <w:rPr>
          <w:lang w:val="fr-FR"/>
        </w:rPr>
      </w:pPr>
      <w:r w:rsidRPr="007C1C7F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CD" w:rsidRPr="00150BFA" w:rsidRDefault="005043CD" w:rsidP="00024EF5">
    <w:pPr>
      <w:jc w:val="center"/>
    </w:pPr>
    <w:r>
      <w:rPr>
        <w:noProof/>
        <w:lang w:eastAsia="ja-JP"/>
      </w:rPr>
      <w:drawing>
        <wp:inline distT="0" distB="0" distL="0" distR="0" wp14:anchorId="5E6FF99A" wp14:editId="08C760EA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3CD" w:rsidRDefault="00504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CD" w:rsidRPr="007C1C7F" w:rsidRDefault="005043CD" w:rsidP="00E77CB3">
      <w:pPr>
        <w:rPr>
          <w:lang w:val="fr-FR"/>
        </w:rPr>
      </w:pPr>
      <w:r w:rsidRPr="007C1C7F">
        <w:rPr>
          <w:lang w:val="fr-FR"/>
        </w:rPr>
        <w:separator/>
      </w:r>
    </w:p>
  </w:footnote>
  <w:footnote w:type="continuationSeparator" w:id="0">
    <w:p w:rsidR="005043CD" w:rsidRPr="007C1C7F" w:rsidRDefault="005043CD" w:rsidP="00E77CB3">
      <w:pPr>
        <w:rPr>
          <w:lang w:val="fr-FR"/>
        </w:rPr>
      </w:pPr>
      <w:r w:rsidRPr="007C1C7F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CD" w:rsidRPr="007C1C7F" w:rsidRDefault="005043CD" w:rsidP="00024EF5">
    <w:pPr>
      <w:pStyle w:val="ECHRHeader"/>
      <w:jc w:val="cent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CD" w:rsidRPr="00A45145" w:rsidRDefault="005043CD" w:rsidP="00024EF5">
    <w:pPr>
      <w:jc w:val="center"/>
    </w:pPr>
    <w:r>
      <w:rPr>
        <w:noProof/>
        <w:lang w:eastAsia="ja-JP"/>
      </w:rPr>
      <w:drawing>
        <wp:inline distT="0" distB="0" distL="0" distR="0" wp14:anchorId="5D23B1F4" wp14:editId="3D6ECB0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3CD" w:rsidRDefault="005043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CD" w:rsidRPr="007C1C7F" w:rsidRDefault="005043CD" w:rsidP="00C611D8">
    <w:pPr>
      <w:pStyle w:val="ECHRHeader"/>
      <w:rPr>
        <w:lang w:val="fr-FR"/>
      </w:rPr>
    </w:pPr>
    <w:r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  <w:lang w:val="fr-FR"/>
      </w:rPr>
      <w:fldChar w:fldCharType="separate"/>
    </w:r>
    <w:r w:rsidR="00FE3F9B">
      <w:rPr>
        <w:rStyle w:val="PageNumber"/>
        <w:noProof/>
        <w:lang w:val="fr-FR"/>
      </w:rPr>
      <w:t>10</w:t>
    </w:r>
    <w:r>
      <w:rPr>
        <w:rStyle w:val="PageNumber"/>
        <w:lang w:val="fr-FR"/>
      </w:rPr>
      <w:fldChar w:fldCharType="end"/>
    </w:r>
    <w:r w:rsidRPr="007C1C7F">
      <w:rPr>
        <w:rStyle w:val="PageNumber"/>
        <w:lang w:val="fr-FR"/>
      </w:rPr>
      <w:tab/>
    </w:r>
    <w:r>
      <w:rPr>
        <w:noProof/>
        <w:lang w:val="fr-FR"/>
      </w:rPr>
      <w:t>ARRÊT</w:t>
    </w:r>
    <w:r w:rsidRPr="007C1C7F">
      <w:rPr>
        <w:lang w:val="fr-FR"/>
      </w:rPr>
      <w:t xml:space="preserve"> </w:t>
    </w:r>
    <w:r>
      <w:rPr>
        <w:lang w:val="fr-FR"/>
      </w:rPr>
      <w:t>SHEVTSOVA c. RUSSIE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CD" w:rsidRPr="007C1C7F" w:rsidRDefault="005043CD" w:rsidP="00C63990">
    <w:pPr>
      <w:pStyle w:val="ECHRHeader"/>
      <w:rPr>
        <w:lang w:val="fr-FR"/>
      </w:rPr>
    </w:pPr>
    <w:r w:rsidRPr="007C1C7F">
      <w:rPr>
        <w:lang w:val="fr-FR"/>
      </w:rPr>
      <w:tab/>
    </w:r>
    <w:r>
      <w:rPr>
        <w:noProof/>
        <w:lang w:val="fr-FR"/>
      </w:rPr>
      <w:t>ARRÊT</w:t>
    </w:r>
    <w:r w:rsidRPr="007C1C7F">
      <w:rPr>
        <w:lang w:val="fr-FR"/>
      </w:rPr>
      <w:t xml:space="preserve"> </w:t>
    </w:r>
    <w:r>
      <w:rPr>
        <w:lang w:val="fr-FR"/>
      </w:rPr>
      <w:t>SHEVTSOVA c. RUSSIE</w:t>
    </w:r>
    <w:r w:rsidRPr="007C1C7F">
      <w:rPr>
        <w:lang w:val="fr-FR"/>
      </w:rPr>
      <w:tab/>
    </w:r>
    <w:r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  <w:lang w:val="fr-FR"/>
      </w:rPr>
      <w:fldChar w:fldCharType="separate"/>
    </w:r>
    <w:r w:rsidR="00FE3F9B">
      <w:rPr>
        <w:rStyle w:val="PageNumber"/>
        <w:noProof/>
        <w:lang w:val="fr-FR"/>
      </w:rPr>
      <w:t>9</w:t>
    </w:r>
    <w:r>
      <w:rPr>
        <w:rStyle w:val="PageNumber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A22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9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C43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268F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0A7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3829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AD3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01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E43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AEA0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D7306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584D97"/>
    <w:rsid w:val="00002456"/>
    <w:rsid w:val="00002810"/>
    <w:rsid w:val="000041F8"/>
    <w:rsid w:val="000042A8"/>
    <w:rsid w:val="00004308"/>
    <w:rsid w:val="00005BF0"/>
    <w:rsid w:val="00007154"/>
    <w:rsid w:val="00007194"/>
    <w:rsid w:val="000103AE"/>
    <w:rsid w:val="00011D69"/>
    <w:rsid w:val="00012AD3"/>
    <w:rsid w:val="000145A3"/>
    <w:rsid w:val="00015C2D"/>
    <w:rsid w:val="00015F00"/>
    <w:rsid w:val="0002032C"/>
    <w:rsid w:val="00022C1D"/>
    <w:rsid w:val="00024EF5"/>
    <w:rsid w:val="00025879"/>
    <w:rsid w:val="00030E12"/>
    <w:rsid w:val="00031347"/>
    <w:rsid w:val="00033D06"/>
    <w:rsid w:val="00034987"/>
    <w:rsid w:val="00035334"/>
    <w:rsid w:val="00043A74"/>
    <w:rsid w:val="00045BBB"/>
    <w:rsid w:val="00051668"/>
    <w:rsid w:val="00056086"/>
    <w:rsid w:val="000602DF"/>
    <w:rsid w:val="00060790"/>
    <w:rsid w:val="00061B05"/>
    <w:rsid w:val="000632D5"/>
    <w:rsid w:val="000644EE"/>
    <w:rsid w:val="00066A71"/>
    <w:rsid w:val="00076F4C"/>
    <w:rsid w:val="000902E6"/>
    <w:rsid w:val="000925AD"/>
    <w:rsid w:val="00092AF2"/>
    <w:rsid w:val="000A24EB"/>
    <w:rsid w:val="000B085D"/>
    <w:rsid w:val="000B6923"/>
    <w:rsid w:val="000C1DE7"/>
    <w:rsid w:val="000C5F3C"/>
    <w:rsid w:val="000C6DCC"/>
    <w:rsid w:val="000D47AA"/>
    <w:rsid w:val="000D6324"/>
    <w:rsid w:val="000D721F"/>
    <w:rsid w:val="000E069B"/>
    <w:rsid w:val="000E0E82"/>
    <w:rsid w:val="000E1DC5"/>
    <w:rsid w:val="000E223F"/>
    <w:rsid w:val="000E2637"/>
    <w:rsid w:val="000E2A56"/>
    <w:rsid w:val="000E3925"/>
    <w:rsid w:val="000E5A6B"/>
    <w:rsid w:val="000E7D45"/>
    <w:rsid w:val="000F00EF"/>
    <w:rsid w:val="000F331D"/>
    <w:rsid w:val="000F6033"/>
    <w:rsid w:val="000F7851"/>
    <w:rsid w:val="00104E23"/>
    <w:rsid w:val="00111B0C"/>
    <w:rsid w:val="00111E0A"/>
    <w:rsid w:val="00116DC2"/>
    <w:rsid w:val="00120D6C"/>
    <w:rsid w:val="00124505"/>
    <w:rsid w:val="001257EC"/>
    <w:rsid w:val="001279F7"/>
    <w:rsid w:val="00132695"/>
    <w:rsid w:val="00133D33"/>
    <w:rsid w:val="00133F55"/>
    <w:rsid w:val="00134D64"/>
    <w:rsid w:val="00135A30"/>
    <w:rsid w:val="0013612C"/>
    <w:rsid w:val="00137FF6"/>
    <w:rsid w:val="00140E6F"/>
    <w:rsid w:val="00141650"/>
    <w:rsid w:val="00141CFC"/>
    <w:rsid w:val="001516A3"/>
    <w:rsid w:val="0015299C"/>
    <w:rsid w:val="00157962"/>
    <w:rsid w:val="00157D2C"/>
    <w:rsid w:val="00157FEB"/>
    <w:rsid w:val="0016174F"/>
    <w:rsid w:val="001619D7"/>
    <w:rsid w:val="00162A12"/>
    <w:rsid w:val="00163CEA"/>
    <w:rsid w:val="001650F7"/>
    <w:rsid w:val="00166530"/>
    <w:rsid w:val="001753A1"/>
    <w:rsid w:val="001832BD"/>
    <w:rsid w:val="001912CA"/>
    <w:rsid w:val="00192EA6"/>
    <w:rsid w:val="001943B5"/>
    <w:rsid w:val="00195134"/>
    <w:rsid w:val="00195600"/>
    <w:rsid w:val="001A145B"/>
    <w:rsid w:val="001A3EF2"/>
    <w:rsid w:val="001A4C2D"/>
    <w:rsid w:val="001A674C"/>
    <w:rsid w:val="001B2DA7"/>
    <w:rsid w:val="001B3B24"/>
    <w:rsid w:val="001B7851"/>
    <w:rsid w:val="001C0F98"/>
    <w:rsid w:val="001C291A"/>
    <w:rsid w:val="001C2A42"/>
    <w:rsid w:val="001C41FA"/>
    <w:rsid w:val="001D2F22"/>
    <w:rsid w:val="001D63ED"/>
    <w:rsid w:val="001D7348"/>
    <w:rsid w:val="001E035B"/>
    <w:rsid w:val="001E0961"/>
    <w:rsid w:val="001E0B6D"/>
    <w:rsid w:val="001E2BA4"/>
    <w:rsid w:val="001E2D13"/>
    <w:rsid w:val="001E3EAE"/>
    <w:rsid w:val="001E6F32"/>
    <w:rsid w:val="001F2145"/>
    <w:rsid w:val="001F4E43"/>
    <w:rsid w:val="001F6262"/>
    <w:rsid w:val="001F67B0"/>
    <w:rsid w:val="001F6F11"/>
    <w:rsid w:val="001F7493"/>
    <w:rsid w:val="001F7B3D"/>
    <w:rsid w:val="002017B2"/>
    <w:rsid w:val="00205F9F"/>
    <w:rsid w:val="00210162"/>
    <w:rsid w:val="00210338"/>
    <w:rsid w:val="002115FC"/>
    <w:rsid w:val="0021423C"/>
    <w:rsid w:val="0022575C"/>
    <w:rsid w:val="0023000A"/>
    <w:rsid w:val="00230D00"/>
    <w:rsid w:val="00231DF7"/>
    <w:rsid w:val="00231FD1"/>
    <w:rsid w:val="002339E0"/>
    <w:rsid w:val="00233CF8"/>
    <w:rsid w:val="0023575D"/>
    <w:rsid w:val="00236DF6"/>
    <w:rsid w:val="00237148"/>
    <w:rsid w:val="0024222D"/>
    <w:rsid w:val="00243432"/>
    <w:rsid w:val="00244B0E"/>
    <w:rsid w:val="00244F6C"/>
    <w:rsid w:val="00246ABB"/>
    <w:rsid w:val="002532C5"/>
    <w:rsid w:val="002543C6"/>
    <w:rsid w:val="00257A0E"/>
    <w:rsid w:val="00260C03"/>
    <w:rsid w:val="00262406"/>
    <w:rsid w:val="0026540E"/>
    <w:rsid w:val="002701F6"/>
    <w:rsid w:val="00270DAE"/>
    <w:rsid w:val="002710B8"/>
    <w:rsid w:val="00275123"/>
    <w:rsid w:val="00282240"/>
    <w:rsid w:val="00291379"/>
    <w:rsid w:val="00293683"/>
    <w:rsid w:val="002944B0"/>
    <w:rsid w:val="002948AD"/>
    <w:rsid w:val="00296EEA"/>
    <w:rsid w:val="0029766D"/>
    <w:rsid w:val="002A01CC"/>
    <w:rsid w:val="002A5967"/>
    <w:rsid w:val="002A61B1"/>
    <w:rsid w:val="002A62DE"/>
    <w:rsid w:val="002A663C"/>
    <w:rsid w:val="002A71BE"/>
    <w:rsid w:val="002B2E0D"/>
    <w:rsid w:val="002B444B"/>
    <w:rsid w:val="002B5887"/>
    <w:rsid w:val="002C0E27"/>
    <w:rsid w:val="002C3040"/>
    <w:rsid w:val="002C41E7"/>
    <w:rsid w:val="002C4D02"/>
    <w:rsid w:val="002C5E2C"/>
    <w:rsid w:val="002C6F15"/>
    <w:rsid w:val="002D022D"/>
    <w:rsid w:val="002D23B6"/>
    <w:rsid w:val="002D24BB"/>
    <w:rsid w:val="002D2D08"/>
    <w:rsid w:val="002D40C9"/>
    <w:rsid w:val="002E02CB"/>
    <w:rsid w:val="002E415F"/>
    <w:rsid w:val="002E5821"/>
    <w:rsid w:val="002F2AF7"/>
    <w:rsid w:val="002F5E12"/>
    <w:rsid w:val="002F5EFB"/>
    <w:rsid w:val="002F7E1C"/>
    <w:rsid w:val="00301A75"/>
    <w:rsid w:val="003022CD"/>
    <w:rsid w:val="00302F70"/>
    <w:rsid w:val="0030336F"/>
    <w:rsid w:val="0030375E"/>
    <w:rsid w:val="003059E6"/>
    <w:rsid w:val="003068D7"/>
    <w:rsid w:val="00310AC3"/>
    <w:rsid w:val="00312A30"/>
    <w:rsid w:val="00314EE0"/>
    <w:rsid w:val="003175BA"/>
    <w:rsid w:val="00320F72"/>
    <w:rsid w:val="00323DC3"/>
    <w:rsid w:val="0032463E"/>
    <w:rsid w:val="003252F0"/>
    <w:rsid w:val="00326224"/>
    <w:rsid w:val="00337EE4"/>
    <w:rsid w:val="00340FFD"/>
    <w:rsid w:val="00346AD0"/>
    <w:rsid w:val="00347339"/>
    <w:rsid w:val="003506B1"/>
    <w:rsid w:val="00354F8C"/>
    <w:rsid w:val="00356AC7"/>
    <w:rsid w:val="00360179"/>
    <w:rsid w:val="003609FA"/>
    <w:rsid w:val="00362D84"/>
    <w:rsid w:val="003710C8"/>
    <w:rsid w:val="00372C3F"/>
    <w:rsid w:val="003750BE"/>
    <w:rsid w:val="0038120E"/>
    <w:rsid w:val="00383B5E"/>
    <w:rsid w:val="00384D70"/>
    <w:rsid w:val="00387B9D"/>
    <w:rsid w:val="003922DF"/>
    <w:rsid w:val="0039364F"/>
    <w:rsid w:val="00393C48"/>
    <w:rsid w:val="00396686"/>
    <w:rsid w:val="00396FAC"/>
    <w:rsid w:val="0039778E"/>
    <w:rsid w:val="003A1417"/>
    <w:rsid w:val="003A1B76"/>
    <w:rsid w:val="003A1D95"/>
    <w:rsid w:val="003A40EF"/>
    <w:rsid w:val="003A5582"/>
    <w:rsid w:val="003B2814"/>
    <w:rsid w:val="003B4941"/>
    <w:rsid w:val="003B58AA"/>
    <w:rsid w:val="003C1C95"/>
    <w:rsid w:val="003C2FFD"/>
    <w:rsid w:val="003C5714"/>
    <w:rsid w:val="003C5833"/>
    <w:rsid w:val="003C6B9F"/>
    <w:rsid w:val="003C6E2A"/>
    <w:rsid w:val="003D0299"/>
    <w:rsid w:val="003D1F01"/>
    <w:rsid w:val="003D2AA6"/>
    <w:rsid w:val="003E6D80"/>
    <w:rsid w:val="003F05FA"/>
    <w:rsid w:val="003F244A"/>
    <w:rsid w:val="003F30B8"/>
    <w:rsid w:val="003F4C45"/>
    <w:rsid w:val="003F5F7B"/>
    <w:rsid w:val="003F7D64"/>
    <w:rsid w:val="004006EE"/>
    <w:rsid w:val="00414300"/>
    <w:rsid w:val="004147EA"/>
    <w:rsid w:val="0041510D"/>
    <w:rsid w:val="00425C67"/>
    <w:rsid w:val="00427E7A"/>
    <w:rsid w:val="00434729"/>
    <w:rsid w:val="00434EC4"/>
    <w:rsid w:val="00436B70"/>
    <w:rsid w:val="00436C49"/>
    <w:rsid w:val="00445366"/>
    <w:rsid w:val="00447F5B"/>
    <w:rsid w:val="0045067D"/>
    <w:rsid w:val="00450DC0"/>
    <w:rsid w:val="00454185"/>
    <w:rsid w:val="00454C1E"/>
    <w:rsid w:val="00456243"/>
    <w:rsid w:val="00461DB0"/>
    <w:rsid w:val="00463926"/>
    <w:rsid w:val="00464C9A"/>
    <w:rsid w:val="004728FD"/>
    <w:rsid w:val="004741F5"/>
    <w:rsid w:val="004746A8"/>
    <w:rsid w:val="00474F3D"/>
    <w:rsid w:val="004763E8"/>
    <w:rsid w:val="00477E3A"/>
    <w:rsid w:val="00483E5F"/>
    <w:rsid w:val="00485E9B"/>
    <w:rsid w:val="00485FF9"/>
    <w:rsid w:val="004907F0"/>
    <w:rsid w:val="0049140B"/>
    <w:rsid w:val="004923A5"/>
    <w:rsid w:val="0049551C"/>
    <w:rsid w:val="00496BFB"/>
    <w:rsid w:val="00496E74"/>
    <w:rsid w:val="004A15C7"/>
    <w:rsid w:val="004A34DB"/>
    <w:rsid w:val="004A457E"/>
    <w:rsid w:val="004B013B"/>
    <w:rsid w:val="004B112B"/>
    <w:rsid w:val="004C01E4"/>
    <w:rsid w:val="004C086C"/>
    <w:rsid w:val="004C1F56"/>
    <w:rsid w:val="004C27BC"/>
    <w:rsid w:val="004C4633"/>
    <w:rsid w:val="004D00C8"/>
    <w:rsid w:val="004D0812"/>
    <w:rsid w:val="004D15F3"/>
    <w:rsid w:val="004D40C2"/>
    <w:rsid w:val="004D5311"/>
    <w:rsid w:val="004D5DCC"/>
    <w:rsid w:val="004D6CB8"/>
    <w:rsid w:val="004D77FC"/>
    <w:rsid w:val="004D7D09"/>
    <w:rsid w:val="004F10AF"/>
    <w:rsid w:val="004F11A4"/>
    <w:rsid w:val="004F2389"/>
    <w:rsid w:val="004F2979"/>
    <w:rsid w:val="004F2C13"/>
    <w:rsid w:val="004F304D"/>
    <w:rsid w:val="004F5909"/>
    <w:rsid w:val="004F61BE"/>
    <w:rsid w:val="004F66B1"/>
    <w:rsid w:val="004F6938"/>
    <w:rsid w:val="004F6BE8"/>
    <w:rsid w:val="004F7A1F"/>
    <w:rsid w:val="005029CE"/>
    <w:rsid w:val="005043CD"/>
    <w:rsid w:val="00510082"/>
    <w:rsid w:val="00511C07"/>
    <w:rsid w:val="005173A6"/>
    <w:rsid w:val="00520BAA"/>
    <w:rsid w:val="005214A6"/>
    <w:rsid w:val="00525208"/>
    <w:rsid w:val="005257A5"/>
    <w:rsid w:val="005264C0"/>
    <w:rsid w:val="00526A8A"/>
    <w:rsid w:val="00527D7D"/>
    <w:rsid w:val="00531DF2"/>
    <w:rsid w:val="00533931"/>
    <w:rsid w:val="00543F25"/>
    <w:rsid w:val="005442EE"/>
    <w:rsid w:val="00547353"/>
    <w:rsid w:val="005474E7"/>
    <w:rsid w:val="005512A3"/>
    <w:rsid w:val="00555C05"/>
    <w:rsid w:val="005578CE"/>
    <w:rsid w:val="00562781"/>
    <w:rsid w:val="00571EB4"/>
    <w:rsid w:val="0057271C"/>
    <w:rsid w:val="00572845"/>
    <w:rsid w:val="00574C83"/>
    <w:rsid w:val="00576DA6"/>
    <w:rsid w:val="00577F10"/>
    <w:rsid w:val="00582DB0"/>
    <w:rsid w:val="00584937"/>
    <w:rsid w:val="00584D97"/>
    <w:rsid w:val="00592772"/>
    <w:rsid w:val="0059574A"/>
    <w:rsid w:val="00596468"/>
    <w:rsid w:val="00596CF9"/>
    <w:rsid w:val="005A02CB"/>
    <w:rsid w:val="005A1B9B"/>
    <w:rsid w:val="005A6751"/>
    <w:rsid w:val="005B092E"/>
    <w:rsid w:val="005B152C"/>
    <w:rsid w:val="005B1EE0"/>
    <w:rsid w:val="005B2B24"/>
    <w:rsid w:val="005B4425"/>
    <w:rsid w:val="005B4B94"/>
    <w:rsid w:val="005B5ABB"/>
    <w:rsid w:val="005C3EE8"/>
    <w:rsid w:val="005C5529"/>
    <w:rsid w:val="005D34F9"/>
    <w:rsid w:val="005D4190"/>
    <w:rsid w:val="005D67A3"/>
    <w:rsid w:val="005D6CE4"/>
    <w:rsid w:val="005E0E05"/>
    <w:rsid w:val="005E2988"/>
    <w:rsid w:val="005E3085"/>
    <w:rsid w:val="005E3331"/>
    <w:rsid w:val="005E3412"/>
    <w:rsid w:val="005E37C6"/>
    <w:rsid w:val="005E64FB"/>
    <w:rsid w:val="005E796D"/>
    <w:rsid w:val="005F01F5"/>
    <w:rsid w:val="005F240F"/>
    <w:rsid w:val="005F3DF8"/>
    <w:rsid w:val="005F51E1"/>
    <w:rsid w:val="006024C3"/>
    <w:rsid w:val="00611C80"/>
    <w:rsid w:val="0061342A"/>
    <w:rsid w:val="006177F9"/>
    <w:rsid w:val="00617E0D"/>
    <w:rsid w:val="00620692"/>
    <w:rsid w:val="006242CA"/>
    <w:rsid w:val="00626424"/>
    <w:rsid w:val="00627507"/>
    <w:rsid w:val="006328EB"/>
    <w:rsid w:val="00633717"/>
    <w:rsid w:val="006339F7"/>
    <w:rsid w:val="006344E1"/>
    <w:rsid w:val="00635120"/>
    <w:rsid w:val="006409C6"/>
    <w:rsid w:val="00642201"/>
    <w:rsid w:val="00646454"/>
    <w:rsid w:val="00646C5C"/>
    <w:rsid w:val="0065298D"/>
    <w:rsid w:val="006545C4"/>
    <w:rsid w:val="0065572F"/>
    <w:rsid w:val="00661971"/>
    <w:rsid w:val="00661CE8"/>
    <w:rsid w:val="006623D9"/>
    <w:rsid w:val="006632A3"/>
    <w:rsid w:val="0066398F"/>
    <w:rsid w:val="0066550C"/>
    <w:rsid w:val="00667B26"/>
    <w:rsid w:val="00667EFE"/>
    <w:rsid w:val="006716F2"/>
    <w:rsid w:val="00673692"/>
    <w:rsid w:val="00682BF2"/>
    <w:rsid w:val="006859CE"/>
    <w:rsid w:val="00691270"/>
    <w:rsid w:val="00693DC5"/>
    <w:rsid w:val="00694A2E"/>
    <w:rsid w:val="00694BA8"/>
    <w:rsid w:val="006A037C"/>
    <w:rsid w:val="006A0A03"/>
    <w:rsid w:val="006A0F32"/>
    <w:rsid w:val="006A36F4"/>
    <w:rsid w:val="006A406F"/>
    <w:rsid w:val="006A4728"/>
    <w:rsid w:val="006A5D3A"/>
    <w:rsid w:val="006B1509"/>
    <w:rsid w:val="006B7589"/>
    <w:rsid w:val="006C1BCB"/>
    <w:rsid w:val="006C23D4"/>
    <w:rsid w:val="006C2EDA"/>
    <w:rsid w:val="006C64BE"/>
    <w:rsid w:val="006C7BB0"/>
    <w:rsid w:val="006D3237"/>
    <w:rsid w:val="006D6FF5"/>
    <w:rsid w:val="006E2E37"/>
    <w:rsid w:val="006E3CF1"/>
    <w:rsid w:val="006E3FC4"/>
    <w:rsid w:val="006E7C2A"/>
    <w:rsid w:val="006E7E80"/>
    <w:rsid w:val="006F48CA"/>
    <w:rsid w:val="006F64DD"/>
    <w:rsid w:val="00711B9F"/>
    <w:rsid w:val="00715127"/>
    <w:rsid w:val="00715E8E"/>
    <w:rsid w:val="00721CEC"/>
    <w:rsid w:val="00723580"/>
    <w:rsid w:val="00723755"/>
    <w:rsid w:val="0073136C"/>
    <w:rsid w:val="00731F0F"/>
    <w:rsid w:val="00733250"/>
    <w:rsid w:val="0074108E"/>
    <w:rsid w:val="00741404"/>
    <w:rsid w:val="007449E5"/>
    <w:rsid w:val="00744BDF"/>
    <w:rsid w:val="00747196"/>
    <w:rsid w:val="00747FF0"/>
    <w:rsid w:val="0075125A"/>
    <w:rsid w:val="007513B3"/>
    <w:rsid w:val="00752A93"/>
    <w:rsid w:val="007538DD"/>
    <w:rsid w:val="00753C8A"/>
    <w:rsid w:val="007547EA"/>
    <w:rsid w:val="007552DB"/>
    <w:rsid w:val="0075715C"/>
    <w:rsid w:val="0076078C"/>
    <w:rsid w:val="00760B21"/>
    <w:rsid w:val="0076170E"/>
    <w:rsid w:val="00762016"/>
    <w:rsid w:val="00764D4E"/>
    <w:rsid w:val="00765A1F"/>
    <w:rsid w:val="00770475"/>
    <w:rsid w:val="007718BF"/>
    <w:rsid w:val="00775255"/>
    <w:rsid w:val="00775B6D"/>
    <w:rsid w:val="00775BC9"/>
    <w:rsid w:val="00776D68"/>
    <w:rsid w:val="0078020D"/>
    <w:rsid w:val="00782FCD"/>
    <w:rsid w:val="007850EE"/>
    <w:rsid w:val="00785B95"/>
    <w:rsid w:val="00787E4D"/>
    <w:rsid w:val="00790E96"/>
    <w:rsid w:val="00791305"/>
    <w:rsid w:val="00793366"/>
    <w:rsid w:val="007952DA"/>
    <w:rsid w:val="00796CFD"/>
    <w:rsid w:val="007A1854"/>
    <w:rsid w:val="007A716F"/>
    <w:rsid w:val="007B270A"/>
    <w:rsid w:val="007B4B56"/>
    <w:rsid w:val="007C0695"/>
    <w:rsid w:val="007C1402"/>
    <w:rsid w:val="007C1C7F"/>
    <w:rsid w:val="007C3C09"/>
    <w:rsid w:val="007C419A"/>
    <w:rsid w:val="007C4CB0"/>
    <w:rsid w:val="007C4CC8"/>
    <w:rsid w:val="007C5300"/>
    <w:rsid w:val="007C5426"/>
    <w:rsid w:val="007C5798"/>
    <w:rsid w:val="007C6F43"/>
    <w:rsid w:val="007D4832"/>
    <w:rsid w:val="007E21B2"/>
    <w:rsid w:val="007E2C4E"/>
    <w:rsid w:val="007E3ED4"/>
    <w:rsid w:val="007E4887"/>
    <w:rsid w:val="007E48C2"/>
    <w:rsid w:val="007E52F1"/>
    <w:rsid w:val="007E5FBE"/>
    <w:rsid w:val="007F1905"/>
    <w:rsid w:val="007F4F51"/>
    <w:rsid w:val="00800F55"/>
    <w:rsid w:val="00801300"/>
    <w:rsid w:val="00802234"/>
    <w:rsid w:val="00802C64"/>
    <w:rsid w:val="00804926"/>
    <w:rsid w:val="00805E52"/>
    <w:rsid w:val="008061D0"/>
    <w:rsid w:val="00810B38"/>
    <w:rsid w:val="00815561"/>
    <w:rsid w:val="00816BFD"/>
    <w:rsid w:val="008204C7"/>
    <w:rsid w:val="008204C8"/>
    <w:rsid w:val="00820992"/>
    <w:rsid w:val="00823602"/>
    <w:rsid w:val="008255F5"/>
    <w:rsid w:val="0083014E"/>
    <w:rsid w:val="0083214A"/>
    <w:rsid w:val="008323C4"/>
    <w:rsid w:val="00832D1B"/>
    <w:rsid w:val="00834220"/>
    <w:rsid w:val="0084019E"/>
    <w:rsid w:val="0084351A"/>
    <w:rsid w:val="00845723"/>
    <w:rsid w:val="00851EF9"/>
    <w:rsid w:val="008577FD"/>
    <w:rsid w:val="00860B03"/>
    <w:rsid w:val="0086497A"/>
    <w:rsid w:val="008713A1"/>
    <w:rsid w:val="008754AB"/>
    <w:rsid w:val="00875AB3"/>
    <w:rsid w:val="0088060C"/>
    <w:rsid w:val="008851E6"/>
    <w:rsid w:val="00893576"/>
    <w:rsid w:val="00893B79"/>
    <w:rsid w:val="00893E73"/>
    <w:rsid w:val="00893FA7"/>
    <w:rsid w:val="008962E5"/>
    <w:rsid w:val="008A5215"/>
    <w:rsid w:val="008B02DC"/>
    <w:rsid w:val="008B57CE"/>
    <w:rsid w:val="008C26DE"/>
    <w:rsid w:val="008C3436"/>
    <w:rsid w:val="008C5FE2"/>
    <w:rsid w:val="008D2225"/>
    <w:rsid w:val="008D4752"/>
    <w:rsid w:val="008D7298"/>
    <w:rsid w:val="008E271C"/>
    <w:rsid w:val="008E418E"/>
    <w:rsid w:val="008E5345"/>
    <w:rsid w:val="008E58B7"/>
    <w:rsid w:val="008E5BC6"/>
    <w:rsid w:val="008E6A25"/>
    <w:rsid w:val="008F5193"/>
    <w:rsid w:val="008F5366"/>
    <w:rsid w:val="008F757F"/>
    <w:rsid w:val="0090119F"/>
    <w:rsid w:val="009013A7"/>
    <w:rsid w:val="009017FB"/>
    <w:rsid w:val="009017FC"/>
    <w:rsid w:val="0090506B"/>
    <w:rsid w:val="009050C9"/>
    <w:rsid w:val="009066FC"/>
    <w:rsid w:val="009075E6"/>
    <w:rsid w:val="009140A3"/>
    <w:rsid w:val="009141A1"/>
    <w:rsid w:val="009144A2"/>
    <w:rsid w:val="0091510C"/>
    <w:rsid w:val="00915286"/>
    <w:rsid w:val="00917345"/>
    <w:rsid w:val="009259AC"/>
    <w:rsid w:val="0092652A"/>
    <w:rsid w:val="00926AD5"/>
    <w:rsid w:val="00926F38"/>
    <w:rsid w:val="00932714"/>
    <w:rsid w:val="00934301"/>
    <w:rsid w:val="0093467A"/>
    <w:rsid w:val="0093559A"/>
    <w:rsid w:val="00936267"/>
    <w:rsid w:val="00936C2D"/>
    <w:rsid w:val="00936CD1"/>
    <w:rsid w:val="00940850"/>
    <w:rsid w:val="00941747"/>
    <w:rsid w:val="00941EFB"/>
    <w:rsid w:val="00945BFB"/>
    <w:rsid w:val="00947AFB"/>
    <w:rsid w:val="009504FA"/>
    <w:rsid w:val="00951D7D"/>
    <w:rsid w:val="00953EE7"/>
    <w:rsid w:val="00954A5F"/>
    <w:rsid w:val="0095620A"/>
    <w:rsid w:val="00961109"/>
    <w:rsid w:val="009630C7"/>
    <w:rsid w:val="00967316"/>
    <w:rsid w:val="009677B6"/>
    <w:rsid w:val="009704E9"/>
    <w:rsid w:val="0097121D"/>
    <w:rsid w:val="00971CCE"/>
    <w:rsid w:val="00972584"/>
    <w:rsid w:val="00972B55"/>
    <w:rsid w:val="009743B7"/>
    <w:rsid w:val="009776A2"/>
    <w:rsid w:val="0098228B"/>
    <w:rsid w:val="009828DA"/>
    <w:rsid w:val="00985418"/>
    <w:rsid w:val="00985BAB"/>
    <w:rsid w:val="00986002"/>
    <w:rsid w:val="00992D65"/>
    <w:rsid w:val="00994964"/>
    <w:rsid w:val="009A1BB5"/>
    <w:rsid w:val="009B0281"/>
    <w:rsid w:val="009B1B5F"/>
    <w:rsid w:val="009B6673"/>
    <w:rsid w:val="009C191B"/>
    <w:rsid w:val="009C1F1B"/>
    <w:rsid w:val="009C2BD6"/>
    <w:rsid w:val="009C3235"/>
    <w:rsid w:val="009C5516"/>
    <w:rsid w:val="009C5881"/>
    <w:rsid w:val="009D0C24"/>
    <w:rsid w:val="009D16B0"/>
    <w:rsid w:val="009E1F32"/>
    <w:rsid w:val="009E402B"/>
    <w:rsid w:val="009E6204"/>
    <w:rsid w:val="009E776C"/>
    <w:rsid w:val="009F1BA8"/>
    <w:rsid w:val="009F2E16"/>
    <w:rsid w:val="00A00144"/>
    <w:rsid w:val="00A04B17"/>
    <w:rsid w:val="00A05CBA"/>
    <w:rsid w:val="00A11399"/>
    <w:rsid w:val="00A1380F"/>
    <w:rsid w:val="00A1726E"/>
    <w:rsid w:val="00A204CF"/>
    <w:rsid w:val="00A20FBB"/>
    <w:rsid w:val="00A23D49"/>
    <w:rsid w:val="00A24F17"/>
    <w:rsid w:val="00A27004"/>
    <w:rsid w:val="00A30C29"/>
    <w:rsid w:val="00A34DD6"/>
    <w:rsid w:val="00A36819"/>
    <w:rsid w:val="00A36989"/>
    <w:rsid w:val="00A41D53"/>
    <w:rsid w:val="00A43308"/>
    <w:rsid w:val="00A43628"/>
    <w:rsid w:val="00A4394B"/>
    <w:rsid w:val="00A47854"/>
    <w:rsid w:val="00A54192"/>
    <w:rsid w:val="00A55205"/>
    <w:rsid w:val="00A5708D"/>
    <w:rsid w:val="00A6035E"/>
    <w:rsid w:val="00A6144C"/>
    <w:rsid w:val="00A64836"/>
    <w:rsid w:val="00A66617"/>
    <w:rsid w:val="00A671F8"/>
    <w:rsid w:val="00A673A4"/>
    <w:rsid w:val="00A67531"/>
    <w:rsid w:val="00A724AE"/>
    <w:rsid w:val="00A73329"/>
    <w:rsid w:val="00A74BC1"/>
    <w:rsid w:val="00A82359"/>
    <w:rsid w:val="00A865D2"/>
    <w:rsid w:val="00A906D2"/>
    <w:rsid w:val="00A93391"/>
    <w:rsid w:val="00A93AE8"/>
    <w:rsid w:val="00A94C20"/>
    <w:rsid w:val="00A9532B"/>
    <w:rsid w:val="00A9565E"/>
    <w:rsid w:val="00A97FE9"/>
    <w:rsid w:val="00AA227F"/>
    <w:rsid w:val="00AA3BC7"/>
    <w:rsid w:val="00AA754A"/>
    <w:rsid w:val="00AA755B"/>
    <w:rsid w:val="00AB099E"/>
    <w:rsid w:val="00AB1A6D"/>
    <w:rsid w:val="00AB272D"/>
    <w:rsid w:val="00AB4328"/>
    <w:rsid w:val="00AB4556"/>
    <w:rsid w:val="00AB71BE"/>
    <w:rsid w:val="00AB7286"/>
    <w:rsid w:val="00AC0824"/>
    <w:rsid w:val="00AC2A32"/>
    <w:rsid w:val="00AC4EBF"/>
    <w:rsid w:val="00AC59F4"/>
    <w:rsid w:val="00AD1B3F"/>
    <w:rsid w:val="00AD412E"/>
    <w:rsid w:val="00AD5D7C"/>
    <w:rsid w:val="00AE0A2E"/>
    <w:rsid w:val="00AE2C12"/>
    <w:rsid w:val="00AE354C"/>
    <w:rsid w:val="00AF4A40"/>
    <w:rsid w:val="00AF4B07"/>
    <w:rsid w:val="00AF5CC8"/>
    <w:rsid w:val="00AF6186"/>
    <w:rsid w:val="00AF7A3A"/>
    <w:rsid w:val="00B0713E"/>
    <w:rsid w:val="00B07BA0"/>
    <w:rsid w:val="00B160DB"/>
    <w:rsid w:val="00B176AB"/>
    <w:rsid w:val="00B201A6"/>
    <w:rsid w:val="00B20836"/>
    <w:rsid w:val="00B235BB"/>
    <w:rsid w:val="00B25B4B"/>
    <w:rsid w:val="00B27A44"/>
    <w:rsid w:val="00B30BBF"/>
    <w:rsid w:val="00B33C03"/>
    <w:rsid w:val="00B373C7"/>
    <w:rsid w:val="00B373D1"/>
    <w:rsid w:val="00B44E56"/>
    <w:rsid w:val="00B45E20"/>
    <w:rsid w:val="00B46543"/>
    <w:rsid w:val="00B47D33"/>
    <w:rsid w:val="00B52BE0"/>
    <w:rsid w:val="00B54133"/>
    <w:rsid w:val="00B65F86"/>
    <w:rsid w:val="00B701ED"/>
    <w:rsid w:val="00B7393C"/>
    <w:rsid w:val="00B74FED"/>
    <w:rsid w:val="00B757BA"/>
    <w:rsid w:val="00B8086C"/>
    <w:rsid w:val="00B80A6D"/>
    <w:rsid w:val="00B85A04"/>
    <w:rsid w:val="00B861B4"/>
    <w:rsid w:val="00B86DFE"/>
    <w:rsid w:val="00B90990"/>
    <w:rsid w:val="00B91A81"/>
    <w:rsid w:val="00B922FF"/>
    <w:rsid w:val="00B9281E"/>
    <w:rsid w:val="00B93925"/>
    <w:rsid w:val="00B93ECF"/>
    <w:rsid w:val="00B945F0"/>
    <w:rsid w:val="00B94992"/>
    <w:rsid w:val="00B94BB8"/>
    <w:rsid w:val="00B95187"/>
    <w:rsid w:val="00B9579A"/>
    <w:rsid w:val="00B964FD"/>
    <w:rsid w:val="00B9776F"/>
    <w:rsid w:val="00BA2D55"/>
    <w:rsid w:val="00BA71B1"/>
    <w:rsid w:val="00BB0637"/>
    <w:rsid w:val="00BB345F"/>
    <w:rsid w:val="00BB68EA"/>
    <w:rsid w:val="00BB7920"/>
    <w:rsid w:val="00BC02F5"/>
    <w:rsid w:val="00BC1C27"/>
    <w:rsid w:val="00BC21FD"/>
    <w:rsid w:val="00BC47F6"/>
    <w:rsid w:val="00BC4A8F"/>
    <w:rsid w:val="00BC6BBF"/>
    <w:rsid w:val="00BD0653"/>
    <w:rsid w:val="00BD1572"/>
    <w:rsid w:val="00BD21B9"/>
    <w:rsid w:val="00BE14E3"/>
    <w:rsid w:val="00BE1A3E"/>
    <w:rsid w:val="00BE3774"/>
    <w:rsid w:val="00BE41E5"/>
    <w:rsid w:val="00BF4109"/>
    <w:rsid w:val="00BF4CC3"/>
    <w:rsid w:val="00BF6DC2"/>
    <w:rsid w:val="00C017EB"/>
    <w:rsid w:val="00C0449F"/>
    <w:rsid w:val="00C04EBB"/>
    <w:rsid w:val="00C054C7"/>
    <w:rsid w:val="00C057B5"/>
    <w:rsid w:val="00C06E15"/>
    <w:rsid w:val="00C1262B"/>
    <w:rsid w:val="00C141F5"/>
    <w:rsid w:val="00C150A1"/>
    <w:rsid w:val="00C208E3"/>
    <w:rsid w:val="00C21420"/>
    <w:rsid w:val="00C222AC"/>
    <w:rsid w:val="00C22687"/>
    <w:rsid w:val="00C230FB"/>
    <w:rsid w:val="00C23A5D"/>
    <w:rsid w:val="00C24185"/>
    <w:rsid w:val="00C27543"/>
    <w:rsid w:val="00C32E4D"/>
    <w:rsid w:val="00C333A0"/>
    <w:rsid w:val="00C333E4"/>
    <w:rsid w:val="00C35969"/>
    <w:rsid w:val="00C36408"/>
    <w:rsid w:val="00C36A81"/>
    <w:rsid w:val="00C37401"/>
    <w:rsid w:val="00C41974"/>
    <w:rsid w:val="00C43C6A"/>
    <w:rsid w:val="00C44A99"/>
    <w:rsid w:val="00C45B8B"/>
    <w:rsid w:val="00C53F4A"/>
    <w:rsid w:val="00C54125"/>
    <w:rsid w:val="00C55B54"/>
    <w:rsid w:val="00C6098E"/>
    <w:rsid w:val="00C611D8"/>
    <w:rsid w:val="00C6152C"/>
    <w:rsid w:val="00C63990"/>
    <w:rsid w:val="00C64EF6"/>
    <w:rsid w:val="00C65050"/>
    <w:rsid w:val="00C72C7A"/>
    <w:rsid w:val="00C74810"/>
    <w:rsid w:val="00C863FF"/>
    <w:rsid w:val="00C90D68"/>
    <w:rsid w:val="00C91601"/>
    <w:rsid w:val="00C92DB2"/>
    <w:rsid w:val="00C933DB"/>
    <w:rsid w:val="00C9353B"/>
    <w:rsid w:val="00C939FE"/>
    <w:rsid w:val="00CA4BDA"/>
    <w:rsid w:val="00CB1F66"/>
    <w:rsid w:val="00CB2951"/>
    <w:rsid w:val="00CC2AFF"/>
    <w:rsid w:val="00CC3FE5"/>
    <w:rsid w:val="00CC6028"/>
    <w:rsid w:val="00CC6593"/>
    <w:rsid w:val="00CC71E6"/>
    <w:rsid w:val="00CD149B"/>
    <w:rsid w:val="00CD16F8"/>
    <w:rsid w:val="00CD282B"/>
    <w:rsid w:val="00CD4C35"/>
    <w:rsid w:val="00CD5BEE"/>
    <w:rsid w:val="00CD7369"/>
    <w:rsid w:val="00CE0B0E"/>
    <w:rsid w:val="00CE21FB"/>
    <w:rsid w:val="00CE3831"/>
    <w:rsid w:val="00CF230C"/>
    <w:rsid w:val="00CF656C"/>
    <w:rsid w:val="00D00ABB"/>
    <w:rsid w:val="00D02C41"/>
    <w:rsid w:val="00D02EEC"/>
    <w:rsid w:val="00D03551"/>
    <w:rsid w:val="00D04524"/>
    <w:rsid w:val="00D0576C"/>
    <w:rsid w:val="00D06A63"/>
    <w:rsid w:val="00D07E0E"/>
    <w:rsid w:val="00D11478"/>
    <w:rsid w:val="00D151A6"/>
    <w:rsid w:val="00D15ED0"/>
    <w:rsid w:val="00D21B3E"/>
    <w:rsid w:val="00D21FED"/>
    <w:rsid w:val="00D24251"/>
    <w:rsid w:val="00D250D7"/>
    <w:rsid w:val="00D343E2"/>
    <w:rsid w:val="00D361A2"/>
    <w:rsid w:val="00D364BE"/>
    <w:rsid w:val="00D36752"/>
    <w:rsid w:val="00D37BC4"/>
    <w:rsid w:val="00D37C1F"/>
    <w:rsid w:val="00D42AFF"/>
    <w:rsid w:val="00D44C2E"/>
    <w:rsid w:val="00D45414"/>
    <w:rsid w:val="00D4786C"/>
    <w:rsid w:val="00D50EE3"/>
    <w:rsid w:val="00D51721"/>
    <w:rsid w:val="00D566BD"/>
    <w:rsid w:val="00D576CF"/>
    <w:rsid w:val="00D57A4D"/>
    <w:rsid w:val="00D60AA7"/>
    <w:rsid w:val="00D6435F"/>
    <w:rsid w:val="00D727F3"/>
    <w:rsid w:val="00D75E28"/>
    <w:rsid w:val="00D772C2"/>
    <w:rsid w:val="00D8008E"/>
    <w:rsid w:val="00D80661"/>
    <w:rsid w:val="00D82C45"/>
    <w:rsid w:val="00D908A8"/>
    <w:rsid w:val="00D921D5"/>
    <w:rsid w:val="00D94383"/>
    <w:rsid w:val="00D971BF"/>
    <w:rsid w:val="00D977B6"/>
    <w:rsid w:val="00DA4A31"/>
    <w:rsid w:val="00DA7B04"/>
    <w:rsid w:val="00DB36C2"/>
    <w:rsid w:val="00DC0ACD"/>
    <w:rsid w:val="00DC169B"/>
    <w:rsid w:val="00DC2AB9"/>
    <w:rsid w:val="00DC63F0"/>
    <w:rsid w:val="00DD4AAB"/>
    <w:rsid w:val="00DD5146"/>
    <w:rsid w:val="00DD6EE5"/>
    <w:rsid w:val="00DE386C"/>
    <w:rsid w:val="00DE4D35"/>
    <w:rsid w:val="00DE572F"/>
    <w:rsid w:val="00DE6DED"/>
    <w:rsid w:val="00DF098B"/>
    <w:rsid w:val="00DF11C4"/>
    <w:rsid w:val="00DF210C"/>
    <w:rsid w:val="00DF4B6A"/>
    <w:rsid w:val="00E01E65"/>
    <w:rsid w:val="00E02C09"/>
    <w:rsid w:val="00E03638"/>
    <w:rsid w:val="00E04D59"/>
    <w:rsid w:val="00E04DA6"/>
    <w:rsid w:val="00E07DA1"/>
    <w:rsid w:val="00E11A7D"/>
    <w:rsid w:val="00E123CB"/>
    <w:rsid w:val="00E1525E"/>
    <w:rsid w:val="00E177B5"/>
    <w:rsid w:val="00E20E13"/>
    <w:rsid w:val="00E21DBC"/>
    <w:rsid w:val="00E256B7"/>
    <w:rsid w:val="00E275D7"/>
    <w:rsid w:val="00E27DBE"/>
    <w:rsid w:val="00E3019C"/>
    <w:rsid w:val="00E31471"/>
    <w:rsid w:val="00E32AB1"/>
    <w:rsid w:val="00E36C71"/>
    <w:rsid w:val="00E373F5"/>
    <w:rsid w:val="00E40404"/>
    <w:rsid w:val="00E40595"/>
    <w:rsid w:val="00E43479"/>
    <w:rsid w:val="00E4529A"/>
    <w:rsid w:val="00E459C6"/>
    <w:rsid w:val="00E47589"/>
    <w:rsid w:val="00E4763E"/>
    <w:rsid w:val="00E479DB"/>
    <w:rsid w:val="00E5498F"/>
    <w:rsid w:val="00E64915"/>
    <w:rsid w:val="00E64FD9"/>
    <w:rsid w:val="00E661D4"/>
    <w:rsid w:val="00E70091"/>
    <w:rsid w:val="00E71EBE"/>
    <w:rsid w:val="00E720F5"/>
    <w:rsid w:val="00E727AF"/>
    <w:rsid w:val="00E733FE"/>
    <w:rsid w:val="00E74701"/>
    <w:rsid w:val="00E76D47"/>
    <w:rsid w:val="00E77598"/>
    <w:rsid w:val="00E77CB3"/>
    <w:rsid w:val="00E849F7"/>
    <w:rsid w:val="00E90302"/>
    <w:rsid w:val="00E965FA"/>
    <w:rsid w:val="00E97396"/>
    <w:rsid w:val="00EA185E"/>
    <w:rsid w:val="00EA592A"/>
    <w:rsid w:val="00EB14E4"/>
    <w:rsid w:val="00EB32A5"/>
    <w:rsid w:val="00EB34ED"/>
    <w:rsid w:val="00EB7BE0"/>
    <w:rsid w:val="00EB7E63"/>
    <w:rsid w:val="00EC1BE8"/>
    <w:rsid w:val="00EC1FDD"/>
    <w:rsid w:val="00EC315E"/>
    <w:rsid w:val="00ED077C"/>
    <w:rsid w:val="00ED0E36"/>
    <w:rsid w:val="00ED1190"/>
    <w:rsid w:val="00ED6544"/>
    <w:rsid w:val="00EE0277"/>
    <w:rsid w:val="00EE2587"/>
    <w:rsid w:val="00EE3E00"/>
    <w:rsid w:val="00EE5DD2"/>
    <w:rsid w:val="00EF0A2E"/>
    <w:rsid w:val="00EF63C2"/>
    <w:rsid w:val="00EF6FED"/>
    <w:rsid w:val="00F00A79"/>
    <w:rsid w:val="00F00E86"/>
    <w:rsid w:val="00F0777B"/>
    <w:rsid w:val="00F07C1E"/>
    <w:rsid w:val="00F105DB"/>
    <w:rsid w:val="00F1102A"/>
    <w:rsid w:val="00F1192E"/>
    <w:rsid w:val="00F125D1"/>
    <w:rsid w:val="00F132BC"/>
    <w:rsid w:val="00F13D80"/>
    <w:rsid w:val="00F16AAA"/>
    <w:rsid w:val="00F20860"/>
    <w:rsid w:val="00F21161"/>
    <w:rsid w:val="00F218EF"/>
    <w:rsid w:val="00F21BC7"/>
    <w:rsid w:val="00F24957"/>
    <w:rsid w:val="00F25649"/>
    <w:rsid w:val="00F266A2"/>
    <w:rsid w:val="00F32269"/>
    <w:rsid w:val="00F52190"/>
    <w:rsid w:val="00F52EC6"/>
    <w:rsid w:val="00F551A0"/>
    <w:rsid w:val="00F56A6F"/>
    <w:rsid w:val="00F5709C"/>
    <w:rsid w:val="00F6019F"/>
    <w:rsid w:val="00F64EF1"/>
    <w:rsid w:val="00F65EAC"/>
    <w:rsid w:val="00F722E8"/>
    <w:rsid w:val="00F76BAE"/>
    <w:rsid w:val="00F76DC5"/>
    <w:rsid w:val="00F83EAA"/>
    <w:rsid w:val="00F8765F"/>
    <w:rsid w:val="00F90767"/>
    <w:rsid w:val="00F92C07"/>
    <w:rsid w:val="00F96F45"/>
    <w:rsid w:val="00F96FBA"/>
    <w:rsid w:val="00FA3C96"/>
    <w:rsid w:val="00FA43A1"/>
    <w:rsid w:val="00FA61F0"/>
    <w:rsid w:val="00FA685B"/>
    <w:rsid w:val="00FB0C01"/>
    <w:rsid w:val="00FB2B45"/>
    <w:rsid w:val="00FB328A"/>
    <w:rsid w:val="00FC0533"/>
    <w:rsid w:val="00FC18F2"/>
    <w:rsid w:val="00FC19B7"/>
    <w:rsid w:val="00FC39E5"/>
    <w:rsid w:val="00FC3A78"/>
    <w:rsid w:val="00FC5379"/>
    <w:rsid w:val="00FD1005"/>
    <w:rsid w:val="00FD4672"/>
    <w:rsid w:val="00FD6C75"/>
    <w:rsid w:val="00FE3F9B"/>
    <w:rsid w:val="00FE4F13"/>
    <w:rsid w:val="00FE71B3"/>
    <w:rsid w:val="00FE7B1F"/>
    <w:rsid w:val="00FF245F"/>
    <w:rsid w:val="00FF2FA3"/>
    <w:rsid w:val="00FF42C5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5043CD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5043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5043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5043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5043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5043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5043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043C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043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043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4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CD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5043C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5043C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5043CD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5043CD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5043CD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5043CD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5043C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5043CD"/>
  </w:style>
  <w:style w:type="paragraph" w:customStyle="1" w:styleId="DecList">
    <w:name w:val="Dec_List"/>
    <w:basedOn w:val="Normal"/>
    <w:uiPriority w:val="9"/>
    <w:semiHidden/>
    <w:qFormat/>
    <w:rsid w:val="005043CD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5043CD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5043C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5043C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5043CD"/>
    <w:pPr>
      <w:numPr>
        <w:numId w:val="29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5043C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5043CD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5043CD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Initialled">
    <w:name w:val="Ju_Initialled"/>
    <w:basedOn w:val="Normal"/>
    <w:uiPriority w:val="31"/>
    <w:qFormat/>
    <w:rsid w:val="005043CD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5043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043C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5043C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5043C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5043C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5043C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5043CD"/>
    <w:pPr>
      <w:keepNext/>
      <w:keepLines/>
      <w:spacing w:before="240" w:after="120"/>
      <w:ind w:left="1236"/>
    </w:pPr>
    <w:rPr>
      <w:sz w:val="20"/>
    </w:rPr>
  </w:style>
  <w:style w:type="character" w:customStyle="1" w:styleId="JuITMark">
    <w:name w:val="Ju_ITMark"/>
    <w:basedOn w:val="DefaultParagraphFont"/>
    <w:uiPriority w:val="38"/>
    <w:qFormat/>
    <w:rsid w:val="005043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Listi">
    <w:name w:val="Ju_List_i"/>
    <w:basedOn w:val="Normal"/>
    <w:next w:val="JuLista"/>
    <w:uiPriority w:val="28"/>
    <w:qFormat/>
    <w:rsid w:val="005043CD"/>
    <w:pPr>
      <w:ind w:left="794"/>
    </w:pPr>
  </w:style>
  <w:style w:type="character" w:customStyle="1" w:styleId="JUNAMES">
    <w:name w:val="JU_NAMES"/>
    <w:uiPriority w:val="17"/>
    <w:qFormat/>
    <w:rsid w:val="005043CD"/>
    <w:rPr>
      <w:caps w:val="0"/>
      <w:smallCaps/>
    </w:rPr>
  </w:style>
  <w:style w:type="paragraph" w:styleId="Header">
    <w:name w:val="header"/>
    <w:basedOn w:val="Normal"/>
    <w:link w:val="HeaderChar"/>
    <w:uiPriority w:val="57"/>
    <w:semiHidden/>
    <w:rsid w:val="005043C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5043CD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5043C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5043C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5043C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043C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JuParaSub">
    <w:name w:val="Ju_Para_Sub"/>
    <w:basedOn w:val="ECHRPara"/>
    <w:uiPriority w:val="13"/>
    <w:qFormat/>
    <w:rsid w:val="005043CD"/>
    <w:pPr>
      <w:ind w:left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5043CD"/>
    <w:pPr>
      <w:tabs>
        <w:tab w:val="left" w:pos="567"/>
        <w:tab w:val="left" w:pos="1134"/>
      </w:tabs>
      <w:jc w:val="left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5043C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Para">
    <w:name w:val="ECHR_Para"/>
    <w:aliases w:val="Ju_Para"/>
    <w:basedOn w:val="Normal"/>
    <w:uiPriority w:val="12"/>
    <w:qFormat/>
    <w:rsid w:val="005043CD"/>
    <w:pPr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5043C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043CD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5043CD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5043C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5043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5043C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5043CD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5043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043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3CD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043C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043C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043C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043C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5043CD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5043C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5043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043CD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5043CD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5043CD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5043C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043CD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5043CD"/>
    <w:rPr>
      <w:smallCaps/>
    </w:rPr>
  </w:style>
  <w:style w:type="table" w:styleId="TableGrid">
    <w:name w:val="Table Grid"/>
    <w:basedOn w:val="TableNormal"/>
    <w:uiPriority w:val="59"/>
    <w:semiHidden/>
    <w:rsid w:val="005043C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5043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5043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5043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5043C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5043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5043C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5043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5043CD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5043C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"/>
    <w:next w:val="JuParaLast"/>
    <w:uiPriority w:val="32"/>
    <w:qFormat/>
    <w:rsid w:val="005043C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5043CD"/>
    <w:pPr>
      <w:keepNext/>
      <w:keepLines/>
      <w:spacing w:before="240"/>
      <w:ind w:firstLine="284"/>
    </w:pPr>
  </w:style>
  <w:style w:type="paragraph" w:customStyle="1" w:styleId="JuCase">
    <w:name w:val="Ju_Case"/>
    <w:basedOn w:val="Normal"/>
    <w:next w:val="ECHRPara"/>
    <w:uiPriority w:val="10"/>
    <w:rsid w:val="005043CD"/>
    <w:pPr>
      <w:ind w:firstLine="284"/>
    </w:pPr>
    <w:rPr>
      <w:b/>
    </w:rPr>
  </w:style>
  <w:style w:type="paragraph" w:customStyle="1" w:styleId="JuList">
    <w:name w:val="Ju_List"/>
    <w:basedOn w:val="Normal"/>
    <w:uiPriority w:val="28"/>
    <w:qFormat/>
    <w:rsid w:val="005043CD"/>
    <w:pPr>
      <w:ind w:left="340" w:hanging="340"/>
    </w:pPr>
  </w:style>
  <w:style w:type="paragraph" w:customStyle="1" w:styleId="JuQuotSub">
    <w:name w:val="Ju_Quot_Sub"/>
    <w:basedOn w:val="ECHRParaQuote"/>
    <w:uiPriority w:val="15"/>
    <w:qFormat/>
    <w:rsid w:val="005043CD"/>
    <w:pPr>
      <w:ind w:left="567"/>
    </w:pPr>
  </w:style>
  <w:style w:type="character" w:styleId="PageNumber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5043CD"/>
    <w:pPr>
      <w:ind w:left="346" w:firstLine="0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5043C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styleId="CommentReference">
    <w:name w:val="annotation reference"/>
    <w:uiPriority w:val="99"/>
    <w:semiHidden/>
    <w:rsid w:val="00E77CB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77C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CB3"/>
    <w:rPr>
      <w:rFonts w:eastAsiaTheme="minorEastAsia"/>
      <w:sz w:val="20"/>
    </w:rPr>
  </w:style>
  <w:style w:type="character" w:styleId="EndnoteReference">
    <w:name w:val="endnote reference"/>
    <w:uiPriority w:val="99"/>
    <w:semiHidden/>
    <w:rsid w:val="00E77CB3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77CB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7CB3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ListBullet">
    <w:name w:val="List Bullet"/>
    <w:basedOn w:val="Normal"/>
    <w:uiPriority w:val="99"/>
    <w:semiHidden/>
    <w:rsid w:val="00E77CB3"/>
    <w:pPr>
      <w:numPr>
        <w:numId w:val="1"/>
      </w:numPr>
    </w:pPr>
  </w:style>
  <w:style w:type="paragraph" w:customStyle="1" w:styleId="OpiH1">
    <w:name w:val="Opi_H_1"/>
    <w:basedOn w:val="ECHRHeading2"/>
    <w:uiPriority w:val="42"/>
    <w:qFormat/>
    <w:rsid w:val="005043CD"/>
    <w:pPr>
      <w:ind w:left="635" w:hanging="357"/>
      <w:outlineLvl w:val="2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CB3"/>
    <w:rPr>
      <w:rFonts w:eastAsiaTheme="minorEastAsia"/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Ha">
    <w:name w:val="Opi_H_a"/>
    <w:basedOn w:val="ECHRHeading3"/>
    <w:uiPriority w:val="43"/>
    <w:qFormat/>
    <w:rsid w:val="005043CD"/>
    <w:pPr>
      <w:ind w:left="833" w:hanging="357"/>
      <w:outlineLvl w:val="3"/>
    </w:pPr>
    <w:rPr>
      <w:b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5043C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043C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E77CB3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E77CB3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E77CB3"/>
  </w:style>
  <w:style w:type="paragraph" w:styleId="BlockText">
    <w:name w:val="Block Text"/>
    <w:basedOn w:val="Normal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E77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CB3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E77C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7CB3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7CB3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77CB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7CB3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77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CB3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77CB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7CB3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77C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7CB3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7CB3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77CB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7CB3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E77CB3"/>
  </w:style>
  <w:style w:type="character" w:customStyle="1" w:styleId="DateChar">
    <w:name w:val="Date Char"/>
    <w:basedOn w:val="DefaultParagraphFont"/>
    <w:link w:val="Date"/>
    <w:uiPriority w:val="99"/>
    <w:semiHidden/>
    <w:rsid w:val="00E77CB3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77CB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7CB3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77CB3"/>
  </w:style>
  <w:style w:type="paragraph" w:styleId="HTMLAddress">
    <w:name w:val="HTML Address"/>
    <w:basedOn w:val="Normal"/>
    <w:link w:val="HTMLAddressChar"/>
    <w:uiPriority w:val="99"/>
    <w:semiHidden/>
    <w:rsid w:val="00E77C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7CB3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E77CB3"/>
    <w:rPr>
      <w:i/>
      <w:iCs/>
    </w:rPr>
  </w:style>
  <w:style w:type="character" w:styleId="HTMLCode">
    <w:name w:val="HTML Code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E77CB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77CB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77CB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77CB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77CB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77CB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77CB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77CB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77CB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77CB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77CB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E77CB3"/>
  </w:style>
  <w:style w:type="paragraph" w:styleId="List">
    <w:name w:val="List"/>
    <w:basedOn w:val="Normal"/>
    <w:uiPriority w:val="99"/>
    <w:semiHidden/>
    <w:rsid w:val="00E77C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77C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77C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77C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77CB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E77CB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E77CB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E77CB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E77CB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E77C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E77C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E77C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E77C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E77C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E77CB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E77CB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E77CB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E77CB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E77CB3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E77C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77CB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7CB3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5043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77C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7CB3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E77CB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7CB3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77CB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77CB3"/>
  </w:style>
  <w:style w:type="table" w:styleId="TableProfessional">
    <w:name w:val="Table Professional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5043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5043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E77CB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77CB3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5043CD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5043CD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5043CD"/>
  </w:style>
  <w:style w:type="paragraph" w:customStyle="1" w:styleId="OpiParaSub">
    <w:name w:val="Opi_Para_Sub"/>
    <w:basedOn w:val="JuParaSub"/>
    <w:uiPriority w:val="47"/>
    <w:qFormat/>
    <w:rsid w:val="005043CD"/>
  </w:style>
  <w:style w:type="paragraph" w:customStyle="1" w:styleId="OpiQuot">
    <w:name w:val="Opi_Quot"/>
    <w:basedOn w:val="ECHRParaQuote"/>
    <w:uiPriority w:val="48"/>
    <w:qFormat/>
    <w:rsid w:val="005043CD"/>
  </w:style>
  <w:style w:type="paragraph" w:customStyle="1" w:styleId="OpiQuotSub">
    <w:name w:val="Opi_Quot_Sub"/>
    <w:basedOn w:val="JuQuotSub"/>
    <w:uiPriority w:val="49"/>
    <w:qFormat/>
    <w:rsid w:val="005043CD"/>
  </w:style>
  <w:style w:type="paragraph" w:customStyle="1" w:styleId="OpiTranslation">
    <w:name w:val="Opi_Translation"/>
    <w:basedOn w:val="Normal"/>
    <w:next w:val="OpiPara"/>
    <w:uiPriority w:val="40"/>
    <w:qFormat/>
    <w:rsid w:val="005043CD"/>
    <w:pPr>
      <w:jc w:val="center"/>
      <w:outlineLvl w:val="0"/>
    </w:pPr>
    <w:rPr>
      <w:i/>
    </w:rPr>
  </w:style>
  <w:style w:type="paragraph" w:customStyle="1" w:styleId="ECHRSpacer">
    <w:name w:val="ECHR_Spacer"/>
    <w:basedOn w:val="Normal"/>
    <w:uiPriority w:val="45"/>
    <w:rsid w:val="00AA755B"/>
    <w:pPr>
      <w:jc w:val="left"/>
    </w:pPr>
    <w:rPr>
      <w:rFonts w:eastAsiaTheme="minorHAnsi"/>
      <w:sz w:val="4"/>
    </w:rPr>
  </w:style>
  <w:style w:type="paragraph" w:customStyle="1" w:styleId="jupara">
    <w:name w:val="jupara"/>
    <w:basedOn w:val="Normal"/>
    <w:rsid w:val="00FE3F9B"/>
    <w:pPr>
      <w:ind w:firstLine="284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jucase0">
    <w:name w:val="jucase"/>
    <w:basedOn w:val="Normal"/>
    <w:rsid w:val="00FE3F9B"/>
    <w:pPr>
      <w:ind w:firstLine="284"/>
    </w:pPr>
    <w:rPr>
      <w:rFonts w:ascii="Times New Roman" w:eastAsia="Times New Roman" w:hAnsi="Times New Roman" w:cs="Times New Roman"/>
      <w:b/>
      <w:bCs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CF70C-BEDE-4BE2-806E-FA000BB635C3}"/>
</file>

<file path=customXml/itemProps2.xml><?xml version="1.0" encoding="utf-8"?>
<ds:datastoreItem xmlns:ds="http://schemas.openxmlformats.org/officeDocument/2006/customXml" ds:itemID="{A1CAB6BD-D72E-4F94-A4F2-BF81E28788D8}"/>
</file>

<file path=customXml/itemProps3.xml><?xml version="1.0" encoding="utf-8"?>
<ds:datastoreItem xmlns:ds="http://schemas.openxmlformats.org/officeDocument/2006/customXml" ds:itemID="{4BF78E87-7916-4166-9A72-CB8D59B54459}"/>
</file>

<file path=customXml/itemProps4.xml><?xml version="1.0" encoding="utf-8"?>
<ds:datastoreItem xmlns:ds="http://schemas.openxmlformats.org/officeDocument/2006/customXml" ds:itemID="{04010649-FDE0-40A7-A04C-A96142F02F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6514</Words>
  <Characters>37134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43561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lastModifiedBy/>
  <cp:revision>1</cp:revision>
  <cp:lastPrinted>2017-08-22T14:27:00Z</cp:lastPrinted>
  <dcterms:created xsi:type="dcterms:W3CDTF">2018-01-12T09:50:00Z</dcterms:created>
  <dcterms:modified xsi:type="dcterms:W3CDTF">2018-01-12T09:50:00Z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36620/07</vt:lpwstr>
  </property>
  <property fmtid="{D5CDD505-2E9C-101B-9397-08002B2CF9AE}" pid="4" name="CASEID">
    <vt:lpwstr>464126</vt:lpwstr>
  </property>
  <property fmtid="{D5CDD505-2E9C-101B-9397-08002B2CF9AE}" pid="5" name="ContentTypeId">
    <vt:lpwstr>0x010100558EB02BDB9E204AB350EDD385B68E10</vt:lpwstr>
  </property>
</Properties>
</file>